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B960B" w14:textId="1C1AD5D7" w:rsidR="0084142B" w:rsidRDefault="00562268" w:rsidP="0084142B">
      <w:pPr>
        <w:pStyle w:val="Heading1"/>
      </w:pPr>
      <w:bookmarkStart w:id="0" w:name="_GoBack"/>
      <w:bookmarkEnd w:id="0"/>
      <w:r w:rsidRPr="004B58CB">
        <w:t>US cost-effectiveness of Polatuzumab vedotin, bendamustine and rituximab in diffuse large B-cell lymphoma</w:t>
      </w:r>
    </w:p>
    <w:p w14:paraId="585AFD35" w14:textId="48D9FE25" w:rsidR="0084142B" w:rsidRPr="00DD101F" w:rsidRDefault="0084142B" w:rsidP="0084142B">
      <w:pPr>
        <w:rPr>
          <w:color w:val="FF0000"/>
        </w:rPr>
      </w:pPr>
      <w:r w:rsidRPr="00EE3550">
        <w:t xml:space="preserve">Running title: </w:t>
      </w:r>
      <w:r w:rsidRPr="00BD04D7">
        <w:t>US cost-effectiveness of pola-BR in R/R DLBCL</w:t>
      </w:r>
    </w:p>
    <w:p w14:paraId="35B0D211" w14:textId="2CA83E18" w:rsidR="0084142B" w:rsidRDefault="0084142B" w:rsidP="0084142B">
      <w:r w:rsidRPr="00DD101F">
        <w:rPr>
          <w:b/>
          <w:bCs/>
          <w:lang w:val="en-GB"/>
        </w:rPr>
        <w:t>Keith A Betts,</w:t>
      </w:r>
      <w:r w:rsidR="00117AA1">
        <w:rPr>
          <w:b/>
          <w:bCs/>
          <w:vertAlign w:val="superscript"/>
          <w:lang w:val="en-GB"/>
        </w:rPr>
        <w:t>*</w:t>
      </w:r>
      <w:r w:rsidRPr="00DD101F">
        <w:rPr>
          <w:b/>
          <w:bCs/>
          <w:vertAlign w:val="superscript"/>
          <w:lang w:val="en-GB"/>
        </w:rPr>
        <w:t>1</w:t>
      </w:r>
      <w:r w:rsidRPr="00DD101F">
        <w:rPr>
          <w:b/>
          <w:bCs/>
          <w:lang w:val="en-GB"/>
        </w:rPr>
        <w:t xml:space="preserve"> Per-Olof Thuresson,</w:t>
      </w:r>
      <w:r w:rsidRPr="00DD101F">
        <w:rPr>
          <w:b/>
          <w:bCs/>
          <w:vertAlign w:val="superscript"/>
          <w:lang w:val="en-GB"/>
        </w:rPr>
        <w:t>2</w:t>
      </w:r>
      <w:r w:rsidRPr="00DD101F">
        <w:rPr>
          <w:b/>
          <w:bCs/>
          <w:lang w:val="en-GB"/>
        </w:rPr>
        <w:t xml:space="preserve"> Federico Felizzi,</w:t>
      </w:r>
      <w:r w:rsidRPr="00DD101F">
        <w:rPr>
          <w:b/>
          <w:bCs/>
          <w:vertAlign w:val="superscript"/>
          <w:lang w:val="en-GB"/>
        </w:rPr>
        <w:t>2</w:t>
      </w:r>
      <w:r w:rsidRPr="00DD101F">
        <w:rPr>
          <w:b/>
          <w:bCs/>
          <w:lang w:val="en-GB"/>
        </w:rPr>
        <w:t xml:space="preserve"> Ella X Du,</w:t>
      </w:r>
      <w:r w:rsidRPr="00DD101F">
        <w:rPr>
          <w:b/>
          <w:bCs/>
          <w:vertAlign w:val="superscript"/>
          <w:lang w:val="en-GB"/>
        </w:rPr>
        <w:t>1</w:t>
      </w:r>
      <w:r w:rsidRPr="00DD101F">
        <w:rPr>
          <w:b/>
          <w:bCs/>
          <w:lang w:val="en-GB"/>
        </w:rPr>
        <w:t xml:space="preserve"> Ibou Dieye,</w:t>
      </w:r>
      <w:r w:rsidRPr="00DD101F">
        <w:rPr>
          <w:b/>
          <w:bCs/>
          <w:vertAlign w:val="superscript"/>
          <w:lang w:val="en-GB"/>
        </w:rPr>
        <w:t>3</w:t>
      </w:r>
      <w:r w:rsidRPr="00DD101F">
        <w:rPr>
          <w:b/>
          <w:bCs/>
          <w:lang w:val="en-GB"/>
        </w:rPr>
        <w:t xml:space="preserve"> Jia Li,</w:t>
      </w:r>
      <w:r w:rsidRPr="00DD101F">
        <w:rPr>
          <w:b/>
          <w:bCs/>
          <w:vertAlign w:val="superscript"/>
          <w:lang w:val="en-GB"/>
        </w:rPr>
        <w:t>4</w:t>
      </w:r>
      <w:r w:rsidRPr="00DD101F">
        <w:rPr>
          <w:b/>
          <w:bCs/>
          <w:lang w:val="en-GB"/>
        </w:rPr>
        <w:t xml:space="preserve"> Mathias Schulz,</w:t>
      </w:r>
      <w:r w:rsidRPr="00DD101F">
        <w:rPr>
          <w:b/>
          <w:bCs/>
          <w:vertAlign w:val="superscript"/>
          <w:lang w:val="en-GB"/>
        </w:rPr>
        <w:t>4</w:t>
      </w:r>
      <w:r w:rsidRPr="00DD101F">
        <w:rPr>
          <w:b/>
          <w:bCs/>
          <w:lang w:val="en-GB"/>
        </w:rPr>
        <w:t xml:space="preserve"> Anthony S Masaquel</w:t>
      </w:r>
      <w:r w:rsidRPr="00DD101F">
        <w:rPr>
          <w:b/>
          <w:bCs/>
          <w:vertAlign w:val="superscript"/>
          <w:lang w:val="en-GB"/>
        </w:rPr>
        <w:t>4</w:t>
      </w:r>
    </w:p>
    <w:p w14:paraId="5B779AA9" w14:textId="77777777" w:rsidR="0084142B" w:rsidRDefault="0084142B" w:rsidP="0084142B">
      <w:pPr>
        <w:rPr>
          <w:bCs/>
          <w:iCs/>
          <w:lang w:val="en-GB"/>
        </w:rPr>
      </w:pPr>
      <w:r w:rsidRPr="00587331">
        <w:rPr>
          <w:bCs/>
          <w:iCs/>
          <w:vertAlign w:val="superscript"/>
          <w:lang w:val="en-GB"/>
        </w:rPr>
        <w:t>1</w:t>
      </w:r>
      <w:r w:rsidRPr="00587331">
        <w:rPr>
          <w:bCs/>
          <w:iCs/>
          <w:lang w:val="en-GB"/>
        </w:rPr>
        <w:t xml:space="preserve">Analysis Group, Inc., Los Angeles, CA, USA; </w:t>
      </w:r>
    </w:p>
    <w:p w14:paraId="16751FFC" w14:textId="77777777" w:rsidR="0084142B" w:rsidRPr="00DD101F" w:rsidRDefault="0084142B" w:rsidP="0084142B">
      <w:pPr>
        <w:rPr>
          <w:bCs/>
          <w:iCs/>
          <w:lang w:val="de-DE"/>
        </w:rPr>
      </w:pPr>
      <w:r w:rsidRPr="00DD101F">
        <w:rPr>
          <w:bCs/>
          <w:iCs/>
          <w:vertAlign w:val="superscript"/>
          <w:lang w:val="de-DE"/>
        </w:rPr>
        <w:t>2</w:t>
      </w:r>
      <w:r w:rsidRPr="00DD101F">
        <w:rPr>
          <w:bCs/>
          <w:iCs/>
          <w:lang w:val="de-DE"/>
        </w:rPr>
        <w:t xml:space="preserve">F. Hoffmann-La Roche Ltd, Basel, Switzerland; </w:t>
      </w:r>
    </w:p>
    <w:p w14:paraId="2658D12D" w14:textId="77777777" w:rsidR="0084142B" w:rsidRDefault="0084142B" w:rsidP="0084142B">
      <w:pPr>
        <w:rPr>
          <w:bCs/>
          <w:iCs/>
          <w:lang w:val="en-GB"/>
        </w:rPr>
      </w:pPr>
      <w:r w:rsidRPr="00587331">
        <w:rPr>
          <w:bCs/>
          <w:iCs/>
          <w:vertAlign w:val="superscript"/>
          <w:lang w:val="en-GB"/>
        </w:rPr>
        <w:t>3</w:t>
      </w:r>
      <w:r w:rsidRPr="00587331">
        <w:rPr>
          <w:bCs/>
          <w:iCs/>
          <w:lang w:val="en-GB"/>
        </w:rPr>
        <w:t xml:space="preserve">Analysis Group, Inc., Boston, MA, USA; </w:t>
      </w:r>
    </w:p>
    <w:p w14:paraId="385D81E4" w14:textId="77777777" w:rsidR="0084142B" w:rsidRDefault="0084142B" w:rsidP="0084142B">
      <w:r w:rsidRPr="00587331">
        <w:rPr>
          <w:bCs/>
          <w:iCs/>
          <w:vertAlign w:val="superscript"/>
          <w:lang w:val="en-GB"/>
        </w:rPr>
        <w:t>4</w:t>
      </w:r>
      <w:r w:rsidRPr="00587331">
        <w:rPr>
          <w:bCs/>
          <w:iCs/>
          <w:lang w:val="en-GB"/>
        </w:rPr>
        <w:t>Genentech, Inc., South San Francisco, CA, USA</w:t>
      </w:r>
    </w:p>
    <w:p w14:paraId="764CD9CC" w14:textId="77777777" w:rsidR="0084142B" w:rsidRPr="009166DA" w:rsidRDefault="0084142B" w:rsidP="0084142B">
      <w:r>
        <w:t xml:space="preserve">*Author for correspondence: </w:t>
      </w:r>
      <w:hyperlink r:id="rId7" w:history="1">
        <w:r w:rsidRPr="009166DA">
          <w:rPr>
            <w:rStyle w:val="Hyperlink"/>
          </w:rPr>
          <w:t>Keith.Betts@analysisgroup.com</w:t>
        </w:r>
      </w:hyperlink>
    </w:p>
    <w:p w14:paraId="7D4C5C5E" w14:textId="5BDF7896" w:rsidR="0084142B" w:rsidRDefault="0084142B" w:rsidP="0084142B">
      <w:r w:rsidRPr="00EE3550">
        <w:t>Author contributions</w:t>
      </w:r>
      <w:r>
        <w:t>:</w:t>
      </w:r>
      <w:r w:rsidRPr="001F4DFD">
        <w:t xml:space="preserve"> </w:t>
      </w:r>
      <w:r>
        <w:t>All authors were involved in the development of the economic model, and the analysis, review and approval of the manuscript.</w:t>
      </w:r>
    </w:p>
    <w:p w14:paraId="2721F5D9" w14:textId="78E2BF88" w:rsidR="00533A16" w:rsidRPr="001F4DFD" w:rsidRDefault="00533A16" w:rsidP="0084142B">
      <w:pPr>
        <w:rPr>
          <w:rFonts w:eastAsiaTheme="minorEastAsia"/>
          <w:lang w:val="en-GB" w:eastAsia="ja-JP"/>
        </w:rPr>
      </w:pPr>
      <w:r>
        <w:t>Acknowledgements: We would like to thank Samuel J. Hong, PharmD, MS of the University of Washington and Genentech, Inc. for his assistance with model design and manuscript review.</w:t>
      </w:r>
    </w:p>
    <w:p w14:paraId="75808CB0" w14:textId="7BD71372" w:rsidR="0084142B" w:rsidRPr="00EE3550" w:rsidRDefault="0084142B" w:rsidP="0084142B">
      <w:r w:rsidRPr="00412A9B">
        <w:t>Financial disclosure and COI: A</w:t>
      </w:r>
      <w:r w:rsidR="00FB1894" w:rsidRPr="00412A9B">
        <w:t>S</w:t>
      </w:r>
      <w:r w:rsidRPr="00412A9B">
        <w:t xml:space="preserve">M, MS, JL are employees of Genentech, Inc. and own stocks/stock options in </w:t>
      </w:r>
      <w:r w:rsidR="00D7522E" w:rsidRPr="00412A9B">
        <w:t xml:space="preserve">F. Hoffmann La </w:t>
      </w:r>
      <w:r w:rsidRPr="00412A9B">
        <w:t>Roche</w:t>
      </w:r>
      <w:r w:rsidR="00D7522E" w:rsidRPr="00412A9B">
        <w:t xml:space="preserve"> Ltd</w:t>
      </w:r>
      <w:r w:rsidRPr="00412A9B">
        <w:t xml:space="preserve">. FF and PT are employees of </w:t>
      </w:r>
      <w:r w:rsidR="00D7522E" w:rsidRPr="00412A9B">
        <w:t xml:space="preserve">F. Hoffmann La </w:t>
      </w:r>
      <w:r w:rsidRPr="00412A9B">
        <w:t>Roche</w:t>
      </w:r>
      <w:r w:rsidR="00D7522E" w:rsidRPr="00412A9B">
        <w:t xml:space="preserve"> Ltd; PT owns shares in F. Hoffmann La Roche Ltd</w:t>
      </w:r>
      <w:r w:rsidRPr="00412A9B">
        <w:t>.</w:t>
      </w:r>
      <w:r w:rsidRPr="00412A9B">
        <w:rPr>
          <w:rFonts w:eastAsia="SimSun" w:cs="Times New Roman"/>
          <w:szCs w:val="24"/>
        </w:rPr>
        <w:t xml:space="preserve"> K</w:t>
      </w:r>
      <w:r w:rsidR="00FB1894" w:rsidRPr="00412A9B">
        <w:rPr>
          <w:rFonts w:eastAsia="SimSun" w:cs="Times New Roman"/>
          <w:szCs w:val="24"/>
        </w:rPr>
        <w:t>A</w:t>
      </w:r>
      <w:r w:rsidRPr="00412A9B">
        <w:rPr>
          <w:rFonts w:eastAsia="SimSun" w:cs="Times New Roman"/>
          <w:szCs w:val="24"/>
        </w:rPr>
        <w:t>B, E</w:t>
      </w:r>
      <w:r w:rsidR="00FB1894" w:rsidRPr="00412A9B">
        <w:rPr>
          <w:rFonts w:eastAsia="SimSun" w:cs="Times New Roman"/>
          <w:szCs w:val="24"/>
        </w:rPr>
        <w:t>X</w:t>
      </w:r>
      <w:r w:rsidRPr="00412A9B">
        <w:rPr>
          <w:rFonts w:eastAsia="SimSun" w:cs="Times New Roman"/>
          <w:szCs w:val="24"/>
        </w:rPr>
        <w:t xml:space="preserve">D, </w:t>
      </w:r>
      <w:r w:rsidRPr="00412A9B">
        <w:rPr>
          <w:bCs/>
          <w:lang w:val="en-GB"/>
        </w:rPr>
        <w:t>ID</w:t>
      </w:r>
      <w:r w:rsidRPr="00412A9B">
        <w:rPr>
          <w:rFonts w:eastAsia="SimSun" w:cs="Times New Roman"/>
          <w:szCs w:val="24"/>
        </w:rPr>
        <w:t xml:space="preserve"> are employees of Analysis Group, Inc., which has received consulting fees from the sponsor.</w:t>
      </w:r>
      <w:r w:rsidRPr="00412A9B">
        <w:t xml:space="preserve"> The study was sponsored by Genentech, Inc.</w:t>
      </w:r>
    </w:p>
    <w:p w14:paraId="5FA23698" w14:textId="77777777" w:rsidR="0084142B" w:rsidRPr="00EE3550" w:rsidRDefault="0084142B" w:rsidP="0084142B">
      <w:r w:rsidRPr="00EE3550">
        <w:t>Information pertaining to medical writing assistance:</w:t>
      </w:r>
      <w:r>
        <w:t xml:space="preserve"> Editorial assistance, under the guidance of Keith Betts and Anthony Masaquel, was provided by Rachel Hubbard, MSc, of Gardiner-Caldwell Communications, and was funded by F. Hoffmann-La Roche Ltd. </w:t>
      </w:r>
    </w:p>
    <w:p w14:paraId="6D154C65" w14:textId="77777777" w:rsidR="0084142B" w:rsidRPr="00EE3550" w:rsidRDefault="0084142B" w:rsidP="0084142B">
      <w:r w:rsidRPr="00EE3550">
        <w:t>Ethical disclosure:</w:t>
      </w:r>
    </w:p>
    <w:p w14:paraId="65209D19" w14:textId="77777777" w:rsidR="0084142B" w:rsidRPr="00EE3550" w:rsidRDefault="0084142B" w:rsidP="0084142B">
      <w:r w:rsidRPr="00EE3550">
        <w:t>Data sharing statement:</w:t>
      </w:r>
      <w:r>
        <w:t xml:space="preserve"> Qualified researchers may request access to individual patient-level data through the clinical study data request platform (www.clinicalstudydatarequest.com). Further details on Roche’s criteria for eligible studies are available here (</w:t>
      </w:r>
      <w:hyperlink r:id="rId8" w:history="1">
        <w:r w:rsidRPr="00F16982">
          <w:rPr>
            <w:rStyle w:val="Hyperlink"/>
          </w:rPr>
          <w:t>https://clinicalstudydatarequest.com/Study-Sponsors/Study-Sponsors-Roche.aspx</w:t>
        </w:r>
      </w:hyperlink>
      <w:r>
        <w:t xml:space="preserve">). For </w:t>
      </w:r>
      <w:r>
        <w:lastRenderedPageBreak/>
        <w:t>further details on Roche’s Global Policy on the Sharing of Clinical Information and how to request access to related clinical study documents, see here: (</w:t>
      </w:r>
      <w:hyperlink r:id="rId9" w:history="1">
        <w:r w:rsidRPr="00F16982">
          <w:rPr>
            <w:rStyle w:val="Hyperlink"/>
          </w:rPr>
          <w:t>https://www.roche.com/research_and_development/who_we_are_how_we_work/clinical_trials/our_commitment_to_data_sharing.htm</w:t>
        </w:r>
      </w:hyperlink>
      <w:r>
        <w:t>)</w:t>
      </w:r>
    </w:p>
    <w:p w14:paraId="29C35097" w14:textId="77777777" w:rsidR="0084142B" w:rsidRDefault="0084142B" w:rsidP="0084142B">
      <w:pPr>
        <w:rPr>
          <w:b/>
        </w:rPr>
      </w:pPr>
    </w:p>
    <w:tbl>
      <w:tblPr>
        <w:tblW w:w="52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538"/>
        <w:gridCol w:w="1349"/>
        <w:gridCol w:w="903"/>
        <w:gridCol w:w="2885"/>
      </w:tblGrid>
      <w:tr w:rsidR="0084142B" w:rsidRPr="007B1BAC" w14:paraId="66D8A89C" w14:textId="77777777" w:rsidTr="00875538">
        <w:trPr>
          <w:cantSplit/>
          <w:trHeight w:val="314"/>
        </w:trPr>
        <w:tc>
          <w:tcPr>
            <w:tcW w:w="5000" w:type="pct"/>
            <w:gridSpan w:val="5"/>
            <w:shd w:val="clear" w:color="auto" w:fill="FFFFFF" w:themeFill="background1"/>
            <w:noWrap/>
            <w:vAlign w:val="center"/>
          </w:tcPr>
          <w:p w14:paraId="44F785E6" w14:textId="77777777" w:rsidR="0084142B" w:rsidRPr="005D49CA" w:rsidRDefault="0084142B" w:rsidP="00875538">
            <w:pPr>
              <w:rPr>
                <w:b/>
              </w:rPr>
            </w:pPr>
            <w:r w:rsidRPr="005D49CA">
              <w:rPr>
                <w:b/>
              </w:rPr>
              <w:t>Supplemental Table 1. PSA inputs</w:t>
            </w:r>
          </w:p>
        </w:tc>
      </w:tr>
      <w:tr w:rsidR="0084142B" w:rsidRPr="007B1BAC" w14:paraId="7D2040ED" w14:textId="77777777" w:rsidTr="00875538">
        <w:trPr>
          <w:cantSplit/>
          <w:trHeight w:val="314"/>
        </w:trPr>
        <w:tc>
          <w:tcPr>
            <w:tcW w:w="1502" w:type="pct"/>
            <w:shd w:val="clear" w:color="auto" w:fill="FFFFFF" w:themeFill="background1"/>
            <w:noWrap/>
            <w:vAlign w:val="center"/>
            <w:hideMark/>
          </w:tcPr>
          <w:p w14:paraId="20C963A2" w14:textId="77777777" w:rsidR="0084142B" w:rsidRPr="002F209B" w:rsidRDefault="0084142B" w:rsidP="00875538">
            <w:pPr>
              <w:keepNext/>
              <w:spacing w:after="0" w:line="240" w:lineRule="auto"/>
              <w:rPr>
                <w:rFonts w:eastAsia="MS Mincho" w:cs="Times New Roman"/>
                <w:b/>
                <w:szCs w:val="24"/>
              </w:rPr>
            </w:pPr>
            <w:r w:rsidRPr="002F209B">
              <w:rPr>
                <w:rFonts w:eastAsia="MS Mincho" w:cs="Times New Roman"/>
                <w:b/>
                <w:szCs w:val="24"/>
              </w:rPr>
              <w:t>Input parameter</w:t>
            </w:r>
          </w:p>
        </w:tc>
        <w:tc>
          <w:tcPr>
            <w:tcW w:w="806" w:type="pct"/>
            <w:shd w:val="clear" w:color="auto" w:fill="FFFFFF" w:themeFill="background1"/>
            <w:noWrap/>
            <w:vAlign w:val="center"/>
            <w:hideMark/>
          </w:tcPr>
          <w:p w14:paraId="68FFF419" w14:textId="77777777" w:rsidR="0084142B" w:rsidRPr="002F209B" w:rsidRDefault="0084142B" w:rsidP="00875538">
            <w:pPr>
              <w:keepNext/>
              <w:spacing w:after="0" w:line="240" w:lineRule="auto"/>
              <w:jc w:val="center"/>
              <w:rPr>
                <w:rFonts w:eastAsia="MS Mincho" w:cs="Times New Roman"/>
                <w:b/>
                <w:szCs w:val="24"/>
              </w:rPr>
            </w:pPr>
            <w:r w:rsidRPr="002F209B">
              <w:rPr>
                <w:rFonts w:eastAsia="MS Mincho" w:cs="Times New Roman"/>
                <w:b/>
                <w:szCs w:val="24"/>
              </w:rPr>
              <w:t>Distribution</w:t>
            </w:r>
          </w:p>
        </w:tc>
        <w:tc>
          <w:tcPr>
            <w:tcW w:w="707" w:type="pct"/>
            <w:shd w:val="clear" w:color="auto" w:fill="FFFFFF" w:themeFill="background1"/>
            <w:noWrap/>
            <w:vAlign w:val="center"/>
            <w:hideMark/>
          </w:tcPr>
          <w:p w14:paraId="3E445067" w14:textId="77777777" w:rsidR="0084142B" w:rsidRPr="002F209B" w:rsidRDefault="0084142B" w:rsidP="00875538">
            <w:pPr>
              <w:keepNext/>
              <w:spacing w:after="0" w:line="240" w:lineRule="auto"/>
              <w:jc w:val="center"/>
              <w:rPr>
                <w:rFonts w:eastAsia="MS Mincho" w:cs="Times New Roman"/>
                <w:b/>
                <w:szCs w:val="24"/>
              </w:rPr>
            </w:pPr>
            <w:r w:rsidRPr="002F209B">
              <w:rPr>
                <w:rFonts w:eastAsia="MS Mincho" w:cs="Times New Roman"/>
                <w:b/>
                <w:szCs w:val="24"/>
              </w:rPr>
              <w:t>Mean</w:t>
            </w:r>
          </w:p>
        </w:tc>
        <w:tc>
          <w:tcPr>
            <w:tcW w:w="473" w:type="pct"/>
            <w:shd w:val="clear" w:color="auto" w:fill="FFFFFF" w:themeFill="background1"/>
            <w:noWrap/>
            <w:vAlign w:val="center"/>
            <w:hideMark/>
          </w:tcPr>
          <w:p w14:paraId="5DCD59C8" w14:textId="77777777" w:rsidR="0084142B" w:rsidRPr="002F209B" w:rsidRDefault="0084142B" w:rsidP="00875538">
            <w:pPr>
              <w:keepNext/>
              <w:spacing w:after="0" w:line="240" w:lineRule="auto"/>
              <w:jc w:val="center"/>
              <w:rPr>
                <w:rFonts w:eastAsia="MS Mincho" w:cs="Times New Roman"/>
                <w:b/>
                <w:szCs w:val="24"/>
              </w:rPr>
            </w:pPr>
            <w:r w:rsidRPr="002F209B">
              <w:rPr>
                <w:rFonts w:eastAsia="MS Mincho" w:cs="Times New Roman"/>
                <w:b/>
                <w:szCs w:val="24"/>
              </w:rPr>
              <w:t>SE</w:t>
            </w:r>
          </w:p>
        </w:tc>
        <w:tc>
          <w:tcPr>
            <w:tcW w:w="1512" w:type="pct"/>
            <w:shd w:val="clear" w:color="auto" w:fill="FFFFFF" w:themeFill="background1"/>
          </w:tcPr>
          <w:p w14:paraId="29FA29BF" w14:textId="77777777" w:rsidR="0084142B" w:rsidRPr="002F209B" w:rsidRDefault="0084142B" w:rsidP="00875538">
            <w:pPr>
              <w:keepNext/>
              <w:spacing w:after="0" w:line="240" w:lineRule="auto"/>
              <w:jc w:val="center"/>
              <w:rPr>
                <w:rFonts w:eastAsia="MS Mincho" w:cs="Times New Roman"/>
                <w:b/>
                <w:szCs w:val="24"/>
              </w:rPr>
            </w:pPr>
            <w:r w:rsidRPr="002F209B">
              <w:rPr>
                <w:rFonts w:eastAsia="MS Mincho" w:cs="Times New Roman"/>
                <w:b/>
                <w:szCs w:val="24"/>
              </w:rPr>
              <w:t>Notes</w:t>
            </w:r>
          </w:p>
        </w:tc>
      </w:tr>
      <w:tr w:rsidR="0084142B" w:rsidRPr="007B1BAC" w14:paraId="43298AD1" w14:textId="77777777" w:rsidTr="00875538">
        <w:trPr>
          <w:cantSplit/>
          <w:trHeight w:val="298"/>
        </w:trPr>
        <w:tc>
          <w:tcPr>
            <w:tcW w:w="1502" w:type="pct"/>
            <w:shd w:val="clear" w:color="auto" w:fill="FFFFFF"/>
            <w:noWrap/>
            <w:vAlign w:val="center"/>
            <w:hideMark/>
          </w:tcPr>
          <w:p w14:paraId="5967BB4F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b/>
                <w:szCs w:val="24"/>
                <w:lang w:eastAsia="ja-JP"/>
              </w:rPr>
              <w:t>PFS</w:t>
            </w:r>
          </w:p>
        </w:tc>
        <w:tc>
          <w:tcPr>
            <w:tcW w:w="806" w:type="pct"/>
            <w:noWrap/>
            <w:vAlign w:val="center"/>
            <w:hideMark/>
          </w:tcPr>
          <w:p w14:paraId="7B899F3C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</w:p>
        </w:tc>
        <w:tc>
          <w:tcPr>
            <w:tcW w:w="707" w:type="pct"/>
            <w:noWrap/>
            <w:vAlign w:val="center"/>
            <w:hideMark/>
          </w:tcPr>
          <w:p w14:paraId="69AEC352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</w:p>
        </w:tc>
        <w:tc>
          <w:tcPr>
            <w:tcW w:w="473" w:type="pct"/>
            <w:shd w:val="clear" w:color="auto" w:fill="FFFFFF"/>
            <w:noWrap/>
            <w:vAlign w:val="center"/>
            <w:hideMark/>
          </w:tcPr>
          <w:p w14:paraId="70880ACF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</w:p>
        </w:tc>
        <w:tc>
          <w:tcPr>
            <w:tcW w:w="1512" w:type="pct"/>
            <w:vMerge w:val="restart"/>
            <w:shd w:val="clear" w:color="auto" w:fill="FFFFFF"/>
            <w:vAlign w:val="center"/>
          </w:tcPr>
          <w:p w14:paraId="2E13A83A" w14:textId="77777777" w:rsidR="0084142B" w:rsidRPr="002F209B" w:rsidDel="00F57CA4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Uncertainty in the PFS KM curves was represented by uncertainty in PFS in each month. Uncertainty in PFS was represented by the variance-covariance matrix of the parameter estimates</w:t>
            </w:r>
          </w:p>
        </w:tc>
      </w:tr>
      <w:tr w:rsidR="0084142B" w:rsidRPr="007B1BAC" w14:paraId="148BA052" w14:textId="77777777" w:rsidTr="00875538">
        <w:trPr>
          <w:cantSplit/>
          <w:trHeight w:val="298"/>
        </w:trPr>
        <w:tc>
          <w:tcPr>
            <w:tcW w:w="1502" w:type="pct"/>
            <w:shd w:val="clear" w:color="auto" w:fill="FFFFFF"/>
            <w:noWrap/>
            <w:vAlign w:val="center"/>
          </w:tcPr>
          <w:p w14:paraId="2BBF5449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KM curve</w:t>
            </w:r>
          </w:p>
        </w:tc>
        <w:tc>
          <w:tcPr>
            <w:tcW w:w="806" w:type="pct"/>
            <w:noWrap/>
            <w:vAlign w:val="center"/>
          </w:tcPr>
          <w:p w14:paraId="66113E9F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Exponential Greenwood</w:t>
            </w:r>
          </w:p>
        </w:tc>
        <w:tc>
          <w:tcPr>
            <w:tcW w:w="707" w:type="pct"/>
            <w:noWrap/>
            <w:vAlign w:val="center"/>
          </w:tcPr>
          <w:p w14:paraId="3E9C4C41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473" w:type="pct"/>
            <w:shd w:val="clear" w:color="auto" w:fill="FFFFFF"/>
            <w:noWrap/>
            <w:vAlign w:val="center"/>
          </w:tcPr>
          <w:p w14:paraId="0D262213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1512" w:type="pct"/>
            <w:vMerge/>
            <w:shd w:val="clear" w:color="auto" w:fill="FFFFFF"/>
          </w:tcPr>
          <w:p w14:paraId="0AF5D8D2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499EBF48" w14:textId="77777777" w:rsidTr="00875538">
        <w:trPr>
          <w:cantSplit/>
          <w:trHeight w:val="298"/>
        </w:trPr>
        <w:tc>
          <w:tcPr>
            <w:tcW w:w="1502" w:type="pct"/>
            <w:shd w:val="clear" w:color="auto" w:fill="FFFFFF"/>
            <w:noWrap/>
            <w:vAlign w:val="center"/>
            <w:hideMark/>
          </w:tcPr>
          <w:p w14:paraId="4B922DD3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 xml:space="preserve">Log mean, pola + BR 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41F4CECB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shd w:val="clear" w:color="auto" w:fill="FFFFFF"/>
            <w:noWrap/>
            <w:vAlign w:val="center"/>
            <w:hideMark/>
          </w:tcPr>
          <w:p w14:paraId="67AE2519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-0.7113</w:t>
            </w:r>
          </w:p>
        </w:tc>
        <w:tc>
          <w:tcPr>
            <w:tcW w:w="473" w:type="pct"/>
            <w:shd w:val="clear" w:color="auto" w:fill="FFFFFF"/>
            <w:noWrap/>
            <w:vAlign w:val="center"/>
            <w:hideMark/>
          </w:tcPr>
          <w:p w14:paraId="1ED22ABE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1512" w:type="pct"/>
            <w:vMerge/>
            <w:shd w:val="clear" w:color="auto" w:fill="FFFFFF"/>
          </w:tcPr>
          <w:p w14:paraId="7FBE7BC2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752BFA17" w14:textId="77777777" w:rsidTr="00875538">
        <w:trPr>
          <w:cantSplit/>
          <w:trHeight w:val="313"/>
        </w:trPr>
        <w:tc>
          <w:tcPr>
            <w:tcW w:w="1502" w:type="pct"/>
            <w:shd w:val="clear" w:color="auto" w:fill="FFFFFF"/>
            <w:noWrap/>
            <w:vAlign w:val="center"/>
            <w:hideMark/>
          </w:tcPr>
          <w:p w14:paraId="6A1D0618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val="fr-FR" w:eastAsia="ja-JP"/>
              </w:rPr>
            </w:pPr>
            <w:r w:rsidRPr="002F209B">
              <w:rPr>
                <w:rFonts w:eastAsia="MS Mincho" w:cs="Times New Roman"/>
                <w:szCs w:val="24"/>
                <w:lang w:val="fr-FR" w:eastAsia="ja-JP"/>
              </w:rPr>
              <w:t xml:space="preserve">Log standard deviation, pola + BR 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767FB7DC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shd w:val="clear" w:color="auto" w:fill="FFFFFF"/>
            <w:noWrap/>
            <w:vAlign w:val="center"/>
            <w:hideMark/>
          </w:tcPr>
          <w:p w14:paraId="1CBD5767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1.0604</w:t>
            </w:r>
          </w:p>
        </w:tc>
        <w:tc>
          <w:tcPr>
            <w:tcW w:w="473" w:type="pct"/>
            <w:shd w:val="clear" w:color="auto" w:fill="FFFFFF"/>
            <w:noWrap/>
            <w:vAlign w:val="center"/>
            <w:hideMark/>
          </w:tcPr>
          <w:p w14:paraId="26CED439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1512" w:type="pct"/>
            <w:vMerge/>
            <w:shd w:val="clear" w:color="auto" w:fill="FFFFFF"/>
          </w:tcPr>
          <w:p w14:paraId="67B06552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6F4B97EF" w14:textId="77777777" w:rsidTr="00875538">
        <w:trPr>
          <w:cantSplit/>
          <w:trHeight w:val="313"/>
        </w:trPr>
        <w:tc>
          <w:tcPr>
            <w:tcW w:w="1502" w:type="pct"/>
            <w:shd w:val="clear" w:color="auto" w:fill="FFFFFF"/>
            <w:noWrap/>
            <w:vAlign w:val="center"/>
          </w:tcPr>
          <w:p w14:paraId="33263580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 mean, BR</w:t>
            </w:r>
          </w:p>
        </w:tc>
        <w:tc>
          <w:tcPr>
            <w:tcW w:w="806" w:type="pct"/>
            <w:shd w:val="clear" w:color="auto" w:fill="FFFFFF"/>
            <w:noWrap/>
            <w:vAlign w:val="center"/>
          </w:tcPr>
          <w:p w14:paraId="5BDF2DC4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shd w:val="clear" w:color="auto" w:fill="FFFFFF"/>
            <w:noWrap/>
            <w:vAlign w:val="center"/>
          </w:tcPr>
          <w:p w14:paraId="1BEB8FDF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-1.6698</w:t>
            </w:r>
          </w:p>
        </w:tc>
        <w:tc>
          <w:tcPr>
            <w:tcW w:w="473" w:type="pct"/>
            <w:shd w:val="clear" w:color="auto" w:fill="FFFFFF"/>
            <w:noWrap/>
            <w:vAlign w:val="center"/>
          </w:tcPr>
          <w:p w14:paraId="36FB256B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1512" w:type="pct"/>
            <w:vMerge/>
            <w:shd w:val="clear" w:color="auto" w:fill="FFFFFF"/>
          </w:tcPr>
          <w:p w14:paraId="5BD757AE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6DF290F1" w14:textId="77777777" w:rsidTr="00875538">
        <w:trPr>
          <w:cantSplit/>
          <w:trHeight w:val="313"/>
        </w:trPr>
        <w:tc>
          <w:tcPr>
            <w:tcW w:w="1502" w:type="pct"/>
            <w:shd w:val="clear" w:color="auto" w:fill="FFFFFF"/>
            <w:noWrap/>
            <w:vAlign w:val="center"/>
          </w:tcPr>
          <w:p w14:paraId="421090FA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 standard deviation, BR</w:t>
            </w:r>
          </w:p>
        </w:tc>
        <w:tc>
          <w:tcPr>
            <w:tcW w:w="806" w:type="pct"/>
            <w:shd w:val="clear" w:color="auto" w:fill="FFFFFF"/>
            <w:noWrap/>
            <w:vAlign w:val="center"/>
          </w:tcPr>
          <w:p w14:paraId="1096A90E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 xml:space="preserve"> Log-normal</w:t>
            </w:r>
          </w:p>
        </w:tc>
        <w:tc>
          <w:tcPr>
            <w:tcW w:w="707" w:type="pct"/>
            <w:shd w:val="clear" w:color="auto" w:fill="FFFFFF"/>
            <w:noWrap/>
            <w:vAlign w:val="center"/>
          </w:tcPr>
          <w:p w14:paraId="7EE03694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1.3615</w:t>
            </w:r>
          </w:p>
        </w:tc>
        <w:tc>
          <w:tcPr>
            <w:tcW w:w="473" w:type="pct"/>
            <w:shd w:val="clear" w:color="auto" w:fill="FFFFFF"/>
            <w:noWrap/>
            <w:vAlign w:val="center"/>
          </w:tcPr>
          <w:p w14:paraId="7A9ACA51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1512" w:type="pct"/>
            <w:vMerge/>
            <w:shd w:val="clear" w:color="auto" w:fill="FFFFFF"/>
          </w:tcPr>
          <w:p w14:paraId="1F507DB0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7828513A" w14:textId="77777777" w:rsidTr="00875538">
        <w:trPr>
          <w:cantSplit/>
          <w:trHeight w:val="313"/>
        </w:trPr>
        <w:tc>
          <w:tcPr>
            <w:tcW w:w="3488" w:type="pct"/>
            <w:gridSpan w:val="4"/>
            <w:shd w:val="clear" w:color="auto" w:fill="FFFFFF"/>
            <w:noWrap/>
            <w:vAlign w:val="center"/>
          </w:tcPr>
          <w:p w14:paraId="0DAF5CBF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b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b/>
                <w:szCs w:val="24"/>
                <w:lang w:eastAsia="ja-JP"/>
              </w:rPr>
              <w:t>OS</w:t>
            </w:r>
          </w:p>
        </w:tc>
        <w:tc>
          <w:tcPr>
            <w:tcW w:w="1512" w:type="pct"/>
            <w:vMerge w:val="restart"/>
            <w:shd w:val="clear" w:color="auto" w:fill="FFFFFF"/>
            <w:vAlign w:val="center"/>
          </w:tcPr>
          <w:p w14:paraId="1B85D425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b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Uncertainty in the OS KM curves was represented by uncertainty in OS in each month. Uncertainty in OS was represented by the variance-covariance matrix of the parameter estimates</w:t>
            </w:r>
          </w:p>
        </w:tc>
      </w:tr>
      <w:tr w:rsidR="0084142B" w:rsidRPr="007B1BAC" w14:paraId="0153B612" w14:textId="77777777" w:rsidTr="00875538">
        <w:trPr>
          <w:cantSplit/>
          <w:trHeight w:val="298"/>
        </w:trPr>
        <w:tc>
          <w:tcPr>
            <w:tcW w:w="1502" w:type="pct"/>
            <w:shd w:val="clear" w:color="auto" w:fill="FFFFFF"/>
            <w:noWrap/>
            <w:vAlign w:val="center"/>
            <w:hideMark/>
          </w:tcPr>
          <w:p w14:paraId="3DC10A58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KM curve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31B69794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Exponential Greenwood</w:t>
            </w:r>
          </w:p>
        </w:tc>
        <w:tc>
          <w:tcPr>
            <w:tcW w:w="707" w:type="pct"/>
            <w:shd w:val="clear" w:color="auto" w:fill="FFFFFF"/>
            <w:noWrap/>
            <w:vAlign w:val="center"/>
            <w:hideMark/>
          </w:tcPr>
          <w:p w14:paraId="44E1D8CA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473" w:type="pct"/>
            <w:shd w:val="clear" w:color="auto" w:fill="FFFFFF"/>
            <w:noWrap/>
            <w:vAlign w:val="center"/>
            <w:hideMark/>
          </w:tcPr>
          <w:p w14:paraId="274696ED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1512" w:type="pct"/>
            <w:vMerge/>
            <w:shd w:val="clear" w:color="auto" w:fill="FFFFFF"/>
          </w:tcPr>
          <w:p w14:paraId="5A18B7E5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3DE8B36F" w14:textId="77777777" w:rsidTr="00875538">
        <w:trPr>
          <w:cantSplit/>
          <w:trHeight w:val="298"/>
        </w:trPr>
        <w:tc>
          <w:tcPr>
            <w:tcW w:w="1502" w:type="pct"/>
            <w:shd w:val="clear" w:color="auto" w:fill="FFFFFF"/>
            <w:noWrap/>
            <w:vAlign w:val="center"/>
            <w:hideMark/>
          </w:tcPr>
          <w:p w14:paraId="037C76E8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 xml:space="preserve">Log mean, pola + BR 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58EA55C2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shd w:val="clear" w:color="auto" w:fill="FFFFFF"/>
            <w:noWrap/>
            <w:vAlign w:val="center"/>
            <w:hideMark/>
          </w:tcPr>
          <w:p w14:paraId="30E8D0A5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-0.1974</w:t>
            </w:r>
          </w:p>
        </w:tc>
        <w:tc>
          <w:tcPr>
            <w:tcW w:w="473" w:type="pct"/>
            <w:shd w:val="clear" w:color="auto" w:fill="FFFFFF"/>
            <w:noWrap/>
            <w:vAlign w:val="center"/>
            <w:hideMark/>
          </w:tcPr>
          <w:p w14:paraId="6E992A5F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1512" w:type="pct"/>
            <w:vMerge/>
            <w:shd w:val="clear" w:color="auto" w:fill="FFFFFF"/>
          </w:tcPr>
          <w:p w14:paraId="04FB75F4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312B83BA" w14:textId="77777777" w:rsidTr="00875538">
        <w:trPr>
          <w:cantSplit/>
          <w:trHeight w:val="298"/>
        </w:trPr>
        <w:tc>
          <w:tcPr>
            <w:tcW w:w="1502" w:type="pct"/>
            <w:shd w:val="clear" w:color="auto" w:fill="FFFFFF"/>
            <w:noWrap/>
            <w:vAlign w:val="center"/>
            <w:hideMark/>
          </w:tcPr>
          <w:p w14:paraId="23388018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val="fr-FR" w:eastAsia="ja-JP"/>
              </w:rPr>
            </w:pPr>
            <w:r w:rsidRPr="002F209B">
              <w:rPr>
                <w:rFonts w:eastAsia="MS Mincho" w:cs="Times New Roman"/>
                <w:szCs w:val="24"/>
                <w:lang w:val="fr-FR" w:eastAsia="ja-JP"/>
              </w:rPr>
              <w:t xml:space="preserve">Log standard deviation, pola + BR 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4996D93B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shd w:val="clear" w:color="auto" w:fill="FFFFFF"/>
            <w:noWrap/>
            <w:vAlign w:val="center"/>
            <w:hideMark/>
          </w:tcPr>
          <w:p w14:paraId="3B189555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1.0356</w:t>
            </w:r>
          </w:p>
        </w:tc>
        <w:tc>
          <w:tcPr>
            <w:tcW w:w="473" w:type="pct"/>
            <w:shd w:val="clear" w:color="auto" w:fill="FFFFFF"/>
            <w:noWrap/>
            <w:vAlign w:val="center"/>
            <w:hideMark/>
          </w:tcPr>
          <w:p w14:paraId="3925C31C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1512" w:type="pct"/>
            <w:vMerge/>
            <w:shd w:val="clear" w:color="auto" w:fill="FFFFFF"/>
          </w:tcPr>
          <w:p w14:paraId="78BACBDB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06968D16" w14:textId="77777777" w:rsidTr="00875538">
        <w:trPr>
          <w:cantSplit/>
          <w:trHeight w:val="298"/>
        </w:trPr>
        <w:tc>
          <w:tcPr>
            <w:tcW w:w="1502" w:type="pct"/>
            <w:shd w:val="clear" w:color="auto" w:fill="FFFFFF"/>
            <w:noWrap/>
            <w:vAlign w:val="center"/>
          </w:tcPr>
          <w:p w14:paraId="6D693116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 mean, BR</w:t>
            </w:r>
          </w:p>
        </w:tc>
        <w:tc>
          <w:tcPr>
            <w:tcW w:w="806" w:type="pct"/>
            <w:shd w:val="clear" w:color="auto" w:fill="FFFFFF"/>
            <w:noWrap/>
            <w:vAlign w:val="center"/>
          </w:tcPr>
          <w:p w14:paraId="778D13DF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shd w:val="clear" w:color="auto" w:fill="FFFFFF"/>
            <w:noWrap/>
            <w:vAlign w:val="center"/>
          </w:tcPr>
          <w:p w14:paraId="7A404E04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-0.8113</w:t>
            </w:r>
          </w:p>
        </w:tc>
        <w:tc>
          <w:tcPr>
            <w:tcW w:w="473" w:type="pct"/>
            <w:shd w:val="clear" w:color="auto" w:fill="FFFFFF"/>
            <w:noWrap/>
            <w:vAlign w:val="center"/>
          </w:tcPr>
          <w:p w14:paraId="0FFDE0F9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1512" w:type="pct"/>
            <w:vMerge/>
            <w:shd w:val="clear" w:color="auto" w:fill="FFFFFF"/>
          </w:tcPr>
          <w:p w14:paraId="19AC6B21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0C4BF9B5" w14:textId="77777777" w:rsidTr="00875538">
        <w:trPr>
          <w:cantSplit/>
          <w:trHeight w:val="298"/>
        </w:trPr>
        <w:tc>
          <w:tcPr>
            <w:tcW w:w="1502" w:type="pct"/>
            <w:shd w:val="clear" w:color="auto" w:fill="FFFFFF"/>
            <w:noWrap/>
            <w:vAlign w:val="center"/>
          </w:tcPr>
          <w:p w14:paraId="58AF2C07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 standard deviation, BR</w:t>
            </w:r>
          </w:p>
        </w:tc>
        <w:tc>
          <w:tcPr>
            <w:tcW w:w="806" w:type="pct"/>
            <w:shd w:val="clear" w:color="auto" w:fill="FFFFFF"/>
            <w:noWrap/>
            <w:vAlign w:val="center"/>
          </w:tcPr>
          <w:p w14:paraId="5338FABC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shd w:val="clear" w:color="auto" w:fill="FFFFFF"/>
            <w:noWrap/>
            <w:vAlign w:val="center"/>
          </w:tcPr>
          <w:p w14:paraId="4BF7D13E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1.3262</w:t>
            </w:r>
          </w:p>
        </w:tc>
        <w:tc>
          <w:tcPr>
            <w:tcW w:w="473" w:type="pct"/>
            <w:shd w:val="clear" w:color="auto" w:fill="FFFFFF"/>
            <w:noWrap/>
            <w:vAlign w:val="center"/>
          </w:tcPr>
          <w:p w14:paraId="7D231448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1512" w:type="pct"/>
            <w:vMerge/>
            <w:shd w:val="clear" w:color="auto" w:fill="FFFFFF"/>
          </w:tcPr>
          <w:p w14:paraId="45CE096A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68D91FE7" w14:textId="77777777" w:rsidTr="00875538">
        <w:trPr>
          <w:cantSplit/>
          <w:trHeight w:val="298"/>
        </w:trPr>
        <w:tc>
          <w:tcPr>
            <w:tcW w:w="5000" w:type="pct"/>
            <w:gridSpan w:val="5"/>
            <w:shd w:val="clear" w:color="auto" w:fill="FFFFFF"/>
            <w:noWrap/>
            <w:vAlign w:val="center"/>
          </w:tcPr>
          <w:p w14:paraId="59B75232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b/>
                <w:szCs w:val="24"/>
                <w:lang w:eastAsia="ja-JP"/>
              </w:rPr>
              <w:t>Time-on-treatment</w:t>
            </w:r>
          </w:p>
        </w:tc>
      </w:tr>
      <w:tr w:rsidR="0084142B" w:rsidRPr="007B1BAC" w14:paraId="58347638" w14:textId="77777777" w:rsidTr="00875538">
        <w:trPr>
          <w:cantSplit/>
          <w:trHeight w:val="298"/>
        </w:trPr>
        <w:tc>
          <w:tcPr>
            <w:tcW w:w="1502" w:type="pct"/>
            <w:shd w:val="clear" w:color="auto" w:fill="FFFFFF"/>
            <w:noWrap/>
            <w:vAlign w:val="center"/>
          </w:tcPr>
          <w:p w14:paraId="6CA9D5A7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KM curve</w:t>
            </w:r>
          </w:p>
        </w:tc>
        <w:tc>
          <w:tcPr>
            <w:tcW w:w="806" w:type="pct"/>
            <w:shd w:val="clear" w:color="auto" w:fill="FFFFFF"/>
            <w:noWrap/>
            <w:vAlign w:val="center"/>
          </w:tcPr>
          <w:p w14:paraId="4A7667B8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Exponential Greenwood</w:t>
            </w:r>
          </w:p>
        </w:tc>
        <w:tc>
          <w:tcPr>
            <w:tcW w:w="707" w:type="pct"/>
            <w:shd w:val="clear" w:color="auto" w:fill="FFFFFF"/>
            <w:noWrap/>
            <w:vAlign w:val="center"/>
          </w:tcPr>
          <w:p w14:paraId="3B75E805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473" w:type="pct"/>
            <w:shd w:val="clear" w:color="auto" w:fill="FFFFFF"/>
            <w:noWrap/>
            <w:vAlign w:val="center"/>
          </w:tcPr>
          <w:p w14:paraId="3552CA0E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1512" w:type="pct"/>
            <w:shd w:val="clear" w:color="auto" w:fill="FFFFFF"/>
          </w:tcPr>
          <w:p w14:paraId="441E4471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0B29EA03" w14:textId="77777777" w:rsidTr="00875538">
        <w:trPr>
          <w:cantSplit/>
          <w:trHeight w:val="298"/>
        </w:trPr>
        <w:tc>
          <w:tcPr>
            <w:tcW w:w="3488" w:type="pct"/>
            <w:gridSpan w:val="4"/>
            <w:shd w:val="clear" w:color="auto" w:fill="FFFFFF"/>
            <w:noWrap/>
            <w:vAlign w:val="center"/>
          </w:tcPr>
          <w:p w14:paraId="6FA83402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b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b/>
                <w:szCs w:val="24"/>
                <w:lang w:eastAsia="ja-JP"/>
              </w:rPr>
              <w:t>Health state utilities</w:t>
            </w:r>
          </w:p>
        </w:tc>
        <w:tc>
          <w:tcPr>
            <w:tcW w:w="1512" w:type="pct"/>
            <w:vMerge w:val="restart"/>
            <w:shd w:val="clear" w:color="auto" w:fill="FFFFFF"/>
            <w:vAlign w:val="center"/>
          </w:tcPr>
          <w:p w14:paraId="22E01F9F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b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 xml:space="preserve">Mean utilities and standard errors were derived from the JULIET study </w:t>
            </w:r>
            <w:r w:rsidRPr="00A51879">
              <w:rPr>
                <w:rFonts w:eastAsia="MS Mincho" w:cs="Times New Roman"/>
                <w:noProof/>
                <w:szCs w:val="24"/>
                <w:vertAlign w:val="subscript"/>
                <w:lang w:eastAsia="ja-JP"/>
              </w:rPr>
              <w:t>[21, 22]</w:t>
            </w:r>
          </w:p>
        </w:tc>
      </w:tr>
      <w:tr w:rsidR="0084142B" w:rsidRPr="007B1BAC" w14:paraId="3F4899B1" w14:textId="77777777" w:rsidTr="00875538">
        <w:trPr>
          <w:cantSplit/>
          <w:trHeight w:val="298"/>
        </w:trPr>
        <w:tc>
          <w:tcPr>
            <w:tcW w:w="1502" w:type="pct"/>
            <w:shd w:val="clear" w:color="auto" w:fill="FFFFFF"/>
            <w:noWrap/>
            <w:vAlign w:val="center"/>
            <w:hideMark/>
          </w:tcPr>
          <w:p w14:paraId="620320FF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PFS utility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2D15C169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Gamma</w:t>
            </w:r>
          </w:p>
        </w:tc>
        <w:tc>
          <w:tcPr>
            <w:tcW w:w="707" w:type="pct"/>
            <w:shd w:val="clear" w:color="auto" w:fill="FFFFFF"/>
            <w:noWrap/>
            <w:vAlign w:val="center"/>
            <w:hideMark/>
          </w:tcPr>
          <w:p w14:paraId="36A9ACC4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0.830</w:t>
            </w:r>
          </w:p>
        </w:tc>
        <w:tc>
          <w:tcPr>
            <w:tcW w:w="473" w:type="pct"/>
            <w:shd w:val="clear" w:color="auto" w:fill="FFFFFF"/>
            <w:noWrap/>
            <w:vAlign w:val="center"/>
            <w:hideMark/>
          </w:tcPr>
          <w:p w14:paraId="2655A9F4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0.03</w:t>
            </w:r>
          </w:p>
        </w:tc>
        <w:tc>
          <w:tcPr>
            <w:tcW w:w="1512" w:type="pct"/>
            <w:vMerge/>
            <w:shd w:val="clear" w:color="auto" w:fill="FFFFFF"/>
          </w:tcPr>
          <w:p w14:paraId="3F65CBCF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0AD10E44" w14:textId="77777777" w:rsidTr="00875538">
        <w:trPr>
          <w:cantSplit/>
          <w:trHeight w:val="298"/>
        </w:trPr>
        <w:tc>
          <w:tcPr>
            <w:tcW w:w="1502" w:type="pct"/>
            <w:shd w:val="clear" w:color="auto" w:fill="FFFFFF"/>
            <w:noWrap/>
            <w:vAlign w:val="center"/>
            <w:hideMark/>
          </w:tcPr>
          <w:p w14:paraId="5F3CFECE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PD utility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42080711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Gamma</w:t>
            </w:r>
          </w:p>
        </w:tc>
        <w:tc>
          <w:tcPr>
            <w:tcW w:w="707" w:type="pct"/>
            <w:shd w:val="clear" w:color="auto" w:fill="FFFFFF"/>
            <w:noWrap/>
            <w:vAlign w:val="center"/>
            <w:hideMark/>
          </w:tcPr>
          <w:p w14:paraId="4903F609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0.710</w:t>
            </w:r>
          </w:p>
        </w:tc>
        <w:tc>
          <w:tcPr>
            <w:tcW w:w="473" w:type="pct"/>
            <w:shd w:val="clear" w:color="auto" w:fill="FFFFFF"/>
            <w:noWrap/>
            <w:vAlign w:val="center"/>
            <w:hideMark/>
          </w:tcPr>
          <w:p w14:paraId="38028F76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0.06</w:t>
            </w:r>
          </w:p>
        </w:tc>
        <w:tc>
          <w:tcPr>
            <w:tcW w:w="1512" w:type="pct"/>
            <w:vMerge/>
            <w:shd w:val="clear" w:color="auto" w:fill="FFFFFF"/>
          </w:tcPr>
          <w:p w14:paraId="554673B0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1E8B1BFD" w14:textId="77777777" w:rsidTr="00875538">
        <w:trPr>
          <w:cantSplit/>
          <w:trHeight w:val="298"/>
        </w:trPr>
        <w:tc>
          <w:tcPr>
            <w:tcW w:w="3488" w:type="pct"/>
            <w:gridSpan w:val="4"/>
            <w:shd w:val="clear" w:color="auto" w:fill="FFFFFF"/>
            <w:noWrap/>
            <w:vAlign w:val="center"/>
          </w:tcPr>
          <w:p w14:paraId="111D0CB0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b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b/>
                <w:szCs w:val="24"/>
                <w:lang w:eastAsia="ja-JP"/>
              </w:rPr>
              <w:t>Drug administration costs</w:t>
            </w:r>
            <w:r>
              <w:rPr>
                <w:rFonts w:eastAsia="MS Mincho" w:cs="Times New Roman"/>
                <w:b/>
                <w:szCs w:val="24"/>
                <w:lang w:eastAsia="ja-JP"/>
              </w:rPr>
              <w:t xml:space="preserve"> ($)</w:t>
            </w:r>
          </w:p>
        </w:tc>
        <w:tc>
          <w:tcPr>
            <w:tcW w:w="1512" w:type="pct"/>
            <w:shd w:val="clear" w:color="auto" w:fill="FFFFFF"/>
          </w:tcPr>
          <w:p w14:paraId="227C8871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31FAA36B" w14:textId="77777777" w:rsidTr="00875538">
        <w:trPr>
          <w:cantSplit/>
          <w:trHeight w:val="654"/>
        </w:trPr>
        <w:tc>
          <w:tcPr>
            <w:tcW w:w="1502" w:type="pct"/>
            <w:noWrap/>
            <w:vAlign w:val="center"/>
          </w:tcPr>
          <w:p w14:paraId="59BD7095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First cycle, pola + BR</w:t>
            </w:r>
          </w:p>
        </w:tc>
        <w:tc>
          <w:tcPr>
            <w:tcW w:w="806" w:type="pct"/>
            <w:noWrap/>
            <w:vAlign w:val="center"/>
          </w:tcPr>
          <w:p w14:paraId="5394DC65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noWrap/>
            <w:vAlign w:val="center"/>
          </w:tcPr>
          <w:p w14:paraId="10D7E77C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634.30</w:t>
            </w:r>
          </w:p>
        </w:tc>
        <w:tc>
          <w:tcPr>
            <w:tcW w:w="473" w:type="pct"/>
            <w:shd w:val="clear" w:color="auto" w:fill="FFFFFF"/>
            <w:noWrap/>
            <w:vAlign w:val="center"/>
          </w:tcPr>
          <w:p w14:paraId="45D83CE3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0.1</w:t>
            </w:r>
          </w:p>
        </w:tc>
        <w:tc>
          <w:tcPr>
            <w:tcW w:w="1512" w:type="pct"/>
            <w:vMerge w:val="restart"/>
            <w:shd w:val="clear" w:color="auto" w:fill="FFFFFF"/>
            <w:vAlign w:val="center"/>
          </w:tcPr>
          <w:p w14:paraId="13A4BD30" w14:textId="77777777" w:rsidR="0084142B" w:rsidRPr="002F209B" w:rsidRDefault="0084142B" w:rsidP="00875538">
            <w:pPr>
              <w:spacing w:after="0" w:line="240" w:lineRule="auto"/>
              <w:ind w:left="93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 xml:space="preserve">Administration costs were obtained from dosing schedule and CMS physician fee schedule </w:t>
            </w:r>
            <w:r w:rsidRPr="00A51879">
              <w:rPr>
                <w:rFonts w:eastAsia="MS Mincho" w:cs="Times New Roman"/>
                <w:noProof/>
                <w:szCs w:val="24"/>
                <w:vertAlign w:val="subscript"/>
                <w:lang w:eastAsia="ja-JP"/>
              </w:rPr>
              <w:t>[26]</w:t>
            </w:r>
            <w:r w:rsidRPr="00DC606A">
              <w:rPr>
                <w:rFonts w:eastAsia="MS Mincho" w:cs="Times New Roman"/>
                <w:szCs w:val="24"/>
                <w:lang w:eastAsia="ja-JP"/>
              </w:rPr>
              <w:t>.</w:t>
            </w:r>
            <w:r w:rsidRPr="002F209B">
              <w:rPr>
                <w:rFonts w:eastAsia="MS Mincho" w:cs="Times New Roman"/>
                <w:szCs w:val="24"/>
                <w:lang w:eastAsia="ja-JP"/>
              </w:rPr>
              <w:t xml:space="preserve"> SEs were assumed to be ¼ of the lower and upper of the confidence intervals (assumed to be ±20% of the mean), and are reported on the log-normal scale </w:t>
            </w:r>
          </w:p>
        </w:tc>
      </w:tr>
      <w:tr w:rsidR="0084142B" w:rsidRPr="007B1BAC" w14:paraId="4F6E706D" w14:textId="77777777" w:rsidTr="00875538">
        <w:trPr>
          <w:cantSplit/>
          <w:trHeight w:val="654"/>
        </w:trPr>
        <w:tc>
          <w:tcPr>
            <w:tcW w:w="1502" w:type="pct"/>
            <w:noWrap/>
            <w:vAlign w:val="center"/>
          </w:tcPr>
          <w:p w14:paraId="775C168F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 xml:space="preserve">Subsequent cycle, </w:t>
            </w:r>
            <w:r w:rsidRPr="002F209B">
              <w:rPr>
                <w:rFonts w:eastAsia="MS Mincho" w:cs="Times New Roman"/>
                <w:szCs w:val="24"/>
                <w:lang w:eastAsia="ja-JP"/>
              </w:rPr>
              <w:br/>
              <w:t>pola + BR</w:t>
            </w:r>
          </w:p>
        </w:tc>
        <w:tc>
          <w:tcPr>
            <w:tcW w:w="806" w:type="pct"/>
            <w:noWrap/>
            <w:vAlign w:val="center"/>
          </w:tcPr>
          <w:p w14:paraId="22DA7239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noWrap/>
            <w:vAlign w:val="center"/>
          </w:tcPr>
          <w:p w14:paraId="315CBB5E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603.31</w:t>
            </w:r>
          </w:p>
        </w:tc>
        <w:tc>
          <w:tcPr>
            <w:tcW w:w="473" w:type="pct"/>
            <w:shd w:val="clear" w:color="auto" w:fill="FFFFFF"/>
            <w:noWrap/>
            <w:vAlign w:val="center"/>
          </w:tcPr>
          <w:p w14:paraId="4D8CC3A3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0.1</w:t>
            </w:r>
          </w:p>
        </w:tc>
        <w:tc>
          <w:tcPr>
            <w:tcW w:w="1512" w:type="pct"/>
            <w:vMerge/>
            <w:shd w:val="clear" w:color="auto" w:fill="FFFFFF"/>
          </w:tcPr>
          <w:p w14:paraId="2C3A30CA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7C49D554" w14:textId="77777777" w:rsidTr="00875538">
        <w:trPr>
          <w:cantSplit/>
          <w:trHeight w:val="654"/>
        </w:trPr>
        <w:tc>
          <w:tcPr>
            <w:tcW w:w="1502" w:type="pct"/>
            <w:noWrap/>
            <w:vAlign w:val="center"/>
          </w:tcPr>
          <w:p w14:paraId="5ADBE488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First cycle, BR</w:t>
            </w:r>
          </w:p>
        </w:tc>
        <w:tc>
          <w:tcPr>
            <w:tcW w:w="806" w:type="pct"/>
            <w:noWrap/>
            <w:vAlign w:val="center"/>
          </w:tcPr>
          <w:p w14:paraId="40DB1491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noWrap/>
            <w:vAlign w:val="center"/>
          </w:tcPr>
          <w:p w14:paraId="2FB0CC61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460.23</w:t>
            </w:r>
          </w:p>
        </w:tc>
        <w:tc>
          <w:tcPr>
            <w:tcW w:w="473" w:type="pct"/>
            <w:shd w:val="clear" w:color="auto" w:fill="FFFFFF"/>
            <w:noWrap/>
            <w:vAlign w:val="center"/>
          </w:tcPr>
          <w:p w14:paraId="2C9D6694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0.1</w:t>
            </w:r>
          </w:p>
        </w:tc>
        <w:tc>
          <w:tcPr>
            <w:tcW w:w="1512" w:type="pct"/>
            <w:vMerge/>
            <w:shd w:val="clear" w:color="auto" w:fill="FFFFFF"/>
          </w:tcPr>
          <w:p w14:paraId="2D74FE3A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623BDF7B" w14:textId="77777777" w:rsidTr="00875538">
        <w:trPr>
          <w:cantSplit/>
          <w:trHeight w:val="654"/>
        </w:trPr>
        <w:tc>
          <w:tcPr>
            <w:tcW w:w="1502" w:type="pct"/>
            <w:noWrap/>
            <w:vAlign w:val="center"/>
          </w:tcPr>
          <w:p w14:paraId="3789E4B0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Subsequent cycle, BR</w:t>
            </w:r>
          </w:p>
        </w:tc>
        <w:tc>
          <w:tcPr>
            <w:tcW w:w="806" w:type="pct"/>
            <w:noWrap/>
            <w:vAlign w:val="center"/>
          </w:tcPr>
          <w:p w14:paraId="40170071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noWrap/>
            <w:vAlign w:val="center"/>
          </w:tcPr>
          <w:p w14:paraId="4D78B3FC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460.23</w:t>
            </w:r>
          </w:p>
        </w:tc>
        <w:tc>
          <w:tcPr>
            <w:tcW w:w="473" w:type="pct"/>
            <w:shd w:val="clear" w:color="auto" w:fill="FFFFFF"/>
            <w:noWrap/>
            <w:vAlign w:val="center"/>
          </w:tcPr>
          <w:p w14:paraId="2A9DA895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0.1</w:t>
            </w:r>
          </w:p>
        </w:tc>
        <w:tc>
          <w:tcPr>
            <w:tcW w:w="1512" w:type="pct"/>
            <w:vMerge/>
            <w:shd w:val="clear" w:color="auto" w:fill="FFFFFF"/>
          </w:tcPr>
          <w:p w14:paraId="7D593464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38F4E54F" w14:textId="77777777" w:rsidTr="00875538">
        <w:trPr>
          <w:cantSplit/>
          <w:trHeight w:val="298"/>
        </w:trPr>
        <w:tc>
          <w:tcPr>
            <w:tcW w:w="3488" w:type="pct"/>
            <w:gridSpan w:val="4"/>
            <w:shd w:val="clear" w:color="auto" w:fill="FFFFFF"/>
            <w:noWrap/>
            <w:vAlign w:val="center"/>
          </w:tcPr>
          <w:p w14:paraId="2DF954F7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b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b/>
                <w:szCs w:val="24"/>
                <w:lang w:eastAsia="ja-JP"/>
              </w:rPr>
              <w:lastRenderedPageBreak/>
              <w:t>Supportive care cost during PFS</w:t>
            </w:r>
            <w:r>
              <w:rPr>
                <w:rFonts w:eastAsia="MS Mincho" w:cs="Times New Roman"/>
                <w:b/>
                <w:szCs w:val="24"/>
                <w:lang w:eastAsia="ja-JP"/>
              </w:rPr>
              <w:t xml:space="preserve"> ($)</w:t>
            </w:r>
          </w:p>
        </w:tc>
        <w:tc>
          <w:tcPr>
            <w:tcW w:w="1512" w:type="pct"/>
            <w:shd w:val="clear" w:color="auto" w:fill="FFFFFF"/>
          </w:tcPr>
          <w:p w14:paraId="513D550E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b/>
                <w:szCs w:val="24"/>
                <w:lang w:eastAsia="ja-JP"/>
              </w:rPr>
            </w:pPr>
          </w:p>
        </w:tc>
      </w:tr>
      <w:tr w:rsidR="0084142B" w:rsidRPr="007B1BAC" w14:paraId="28DE4E19" w14:textId="77777777" w:rsidTr="00875538">
        <w:trPr>
          <w:cantSplit/>
          <w:trHeight w:val="812"/>
        </w:trPr>
        <w:tc>
          <w:tcPr>
            <w:tcW w:w="1502" w:type="pct"/>
            <w:noWrap/>
            <w:vAlign w:val="center"/>
            <w:hideMark/>
          </w:tcPr>
          <w:p w14:paraId="260DDEC5" w14:textId="77777777" w:rsidR="0084142B" w:rsidRPr="002F209B" w:rsidRDefault="0084142B" w:rsidP="00875538">
            <w:pPr>
              <w:keepNext/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Supportive care cost in PFS for the first 2 years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7D27E196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vAlign w:val="center"/>
            <w:hideMark/>
          </w:tcPr>
          <w:p w14:paraId="7E063644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12.52</w:t>
            </w:r>
          </w:p>
        </w:tc>
        <w:tc>
          <w:tcPr>
            <w:tcW w:w="473" w:type="pct"/>
            <w:vAlign w:val="center"/>
            <w:hideMark/>
          </w:tcPr>
          <w:p w14:paraId="4F5CDBCB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0.1</w:t>
            </w:r>
          </w:p>
        </w:tc>
        <w:tc>
          <w:tcPr>
            <w:tcW w:w="1512" w:type="pct"/>
            <w:vMerge w:val="restart"/>
          </w:tcPr>
          <w:p w14:paraId="3868D5C9" w14:textId="77777777" w:rsidR="0084142B" w:rsidRPr="00FF0D1E" w:rsidRDefault="0084142B" w:rsidP="00875538">
            <w:pPr>
              <w:spacing w:after="0" w:line="240" w:lineRule="auto"/>
              <w:rPr>
                <w:szCs w:val="24"/>
                <w:lang w:eastAsia="ja-JP"/>
              </w:rPr>
            </w:pPr>
            <w:r w:rsidRPr="002F209B">
              <w:rPr>
                <w:szCs w:val="24"/>
              </w:rPr>
              <w:t xml:space="preserve">Mean costs were calculated using HRU rates from the NCCN guidelines and unit costs from CMS </w:t>
            </w:r>
            <w:r w:rsidRPr="004C7D02">
              <w:rPr>
                <w:noProof/>
                <w:szCs w:val="24"/>
                <w:vertAlign w:val="subscript"/>
              </w:rPr>
              <w:t>[1, 26]</w:t>
            </w:r>
            <w:r w:rsidRPr="00DC606A">
              <w:rPr>
                <w:szCs w:val="24"/>
              </w:rPr>
              <w:t>.</w:t>
            </w:r>
            <w:r w:rsidRPr="002F209B">
              <w:rPr>
                <w:szCs w:val="24"/>
              </w:rPr>
              <w:t xml:space="preserve"> SEs were assumed to be ¼ of the lower and upper of the confidence intervals (assumed to be ±20% of the mean), and are reported on the log-normal scale</w:t>
            </w:r>
          </w:p>
        </w:tc>
      </w:tr>
      <w:tr w:rsidR="0084142B" w:rsidRPr="007B1BAC" w14:paraId="561EB67B" w14:textId="77777777" w:rsidTr="00875538">
        <w:trPr>
          <w:cantSplit/>
          <w:trHeight w:val="812"/>
        </w:trPr>
        <w:tc>
          <w:tcPr>
            <w:tcW w:w="1502" w:type="pct"/>
            <w:noWrap/>
            <w:vAlign w:val="center"/>
            <w:hideMark/>
          </w:tcPr>
          <w:p w14:paraId="7366D2E5" w14:textId="77777777" w:rsidR="0084142B" w:rsidRPr="002F209B" w:rsidRDefault="0084142B" w:rsidP="00875538">
            <w:pPr>
              <w:keepNext/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Supportive care cost in PFS from year 2 to year 5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4AB595C6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vAlign w:val="center"/>
            <w:hideMark/>
          </w:tcPr>
          <w:p w14:paraId="333FAD10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10.18</w:t>
            </w:r>
          </w:p>
        </w:tc>
        <w:tc>
          <w:tcPr>
            <w:tcW w:w="473" w:type="pct"/>
            <w:vAlign w:val="center"/>
            <w:hideMark/>
          </w:tcPr>
          <w:p w14:paraId="2CDF1A60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0.1</w:t>
            </w:r>
          </w:p>
        </w:tc>
        <w:tc>
          <w:tcPr>
            <w:tcW w:w="1512" w:type="pct"/>
            <w:vMerge/>
          </w:tcPr>
          <w:p w14:paraId="0603AD5F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65267335" w14:textId="77777777" w:rsidTr="00875538">
        <w:trPr>
          <w:cantSplit/>
          <w:trHeight w:val="812"/>
        </w:trPr>
        <w:tc>
          <w:tcPr>
            <w:tcW w:w="1502" w:type="pct"/>
            <w:noWrap/>
            <w:vAlign w:val="center"/>
            <w:hideMark/>
          </w:tcPr>
          <w:p w14:paraId="734B6386" w14:textId="77777777" w:rsidR="0084142B" w:rsidRPr="002F209B" w:rsidRDefault="0084142B" w:rsidP="00875538">
            <w:pPr>
              <w:keepNext/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Supportive care cost in PFS after 5 years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2E35F987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vAlign w:val="center"/>
            <w:hideMark/>
          </w:tcPr>
          <w:p w14:paraId="67B26E9B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4.30</w:t>
            </w:r>
          </w:p>
        </w:tc>
        <w:tc>
          <w:tcPr>
            <w:tcW w:w="473" w:type="pct"/>
            <w:vAlign w:val="center"/>
            <w:hideMark/>
          </w:tcPr>
          <w:p w14:paraId="434A23D9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0.1</w:t>
            </w:r>
          </w:p>
        </w:tc>
        <w:tc>
          <w:tcPr>
            <w:tcW w:w="1512" w:type="pct"/>
            <w:vMerge/>
          </w:tcPr>
          <w:p w14:paraId="0E4E191F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szCs w:val="24"/>
                <w:lang w:eastAsia="ja-JP"/>
              </w:rPr>
            </w:pPr>
          </w:p>
        </w:tc>
      </w:tr>
      <w:tr w:rsidR="0084142B" w:rsidRPr="007B1BAC" w14:paraId="1532E719" w14:textId="77777777" w:rsidTr="00875538">
        <w:trPr>
          <w:cantSplit/>
          <w:trHeight w:val="60"/>
        </w:trPr>
        <w:tc>
          <w:tcPr>
            <w:tcW w:w="3488" w:type="pct"/>
            <w:gridSpan w:val="4"/>
            <w:noWrap/>
            <w:vAlign w:val="center"/>
          </w:tcPr>
          <w:p w14:paraId="0F1E93E5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b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b/>
                <w:szCs w:val="24"/>
                <w:lang w:eastAsia="ja-JP"/>
              </w:rPr>
              <w:t>Other medical costs</w:t>
            </w:r>
            <w:r>
              <w:rPr>
                <w:rFonts w:eastAsia="MS Mincho" w:cs="Times New Roman"/>
                <w:b/>
                <w:szCs w:val="24"/>
                <w:lang w:eastAsia="ja-JP"/>
              </w:rPr>
              <w:t xml:space="preserve"> ($)</w:t>
            </w:r>
          </w:p>
        </w:tc>
        <w:tc>
          <w:tcPr>
            <w:tcW w:w="1512" w:type="pct"/>
          </w:tcPr>
          <w:p w14:paraId="231C714A" w14:textId="77777777" w:rsidR="0084142B" w:rsidRPr="002F209B" w:rsidRDefault="0084142B" w:rsidP="00875538">
            <w:pPr>
              <w:spacing w:after="0" w:line="240" w:lineRule="auto"/>
              <w:rPr>
                <w:rFonts w:eastAsia="MS Mincho" w:cs="Times New Roman"/>
                <w:b/>
                <w:szCs w:val="24"/>
                <w:lang w:eastAsia="ja-JP"/>
              </w:rPr>
            </w:pPr>
          </w:p>
        </w:tc>
      </w:tr>
      <w:tr w:rsidR="0084142B" w:rsidRPr="007B1BAC" w14:paraId="13262452" w14:textId="77777777" w:rsidTr="00875538">
        <w:trPr>
          <w:cantSplit/>
          <w:trHeight w:val="898"/>
        </w:trPr>
        <w:tc>
          <w:tcPr>
            <w:tcW w:w="1502" w:type="pct"/>
            <w:shd w:val="clear" w:color="auto" w:fill="FFFFFF"/>
            <w:noWrap/>
            <w:vAlign w:val="center"/>
            <w:hideMark/>
          </w:tcPr>
          <w:p w14:paraId="5CD85AEF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PD cost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73256D25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vAlign w:val="center"/>
            <w:hideMark/>
          </w:tcPr>
          <w:p w14:paraId="7DD91AF9" w14:textId="77777777" w:rsidR="0084142B" w:rsidRPr="004D2890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4D2890">
              <w:rPr>
                <w:rFonts w:cs="Times New Roman"/>
                <w:szCs w:val="24"/>
              </w:rPr>
              <w:t>1,135.12</w:t>
            </w:r>
          </w:p>
        </w:tc>
        <w:tc>
          <w:tcPr>
            <w:tcW w:w="473" w:type="pct"/>
            <w:vAlign w:val="center"/>
            <w:hideMark/>
          </w:tcPr>
          <w:p w14:paraId="0CECD073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0.1</w:t>
            </w:r>
          </w:p>
        </w:tc>
        <w:tc>
          <w:tcPr>
            <w:tcW w:w="1512" w:type="pct"/>
            <w:vMerge w:val="restart"/>
            <w:vAlign w:val="center"/>
          </w:tcPr>
          <w:p w14:paraId="74058758" w14:textId="77777777" w:rsidR="0084142B" w:rsidRPr="00FF0D1E" w:rsidRDefault="0084142B" w:rsidP="00875538">
            <w:pPr>
              <w:spacing w:after="0" w:line="240" w:lineRule="auto"/>
              <w:rPr>
                <w:szCs w:val="24"/>
                <w:lang w:eastAsia="ja-JP"/>
              </w:rPr>
            </w:pPr>
            <w:r w:rsidRPr="002F209B">
              <w:rPr>
                <w:szCs w:val="24"/>
              </w:rPr>
              <w:t xml:space="preserve">Mean PD and terminal care costs were derived from Huntington, 2018 and Chastek, 2012, respectively </w:t>
            </w:r>
            <w:r w:rsidRPr="004C7D02">
              <w:rPr>
                <w:noProof/>
                <w:szCs w:val="24"/>
                <w:vertAlign w:val="subscript"/>
              </w:rPr>
              <w:t>[28, 29]</w:t>
            </w:r>
            <w:r w:rsidRPr="002F209B">
              <w:rPr>
                <w:szCs w:val="24"/>
              </w:rPr>
              <w:t xml:space="preserve">. AE unit costs were derived from HCUP </w:t>
            </w:r>
            <w:r w:rsidRPr="004C7D02">
              <w:rPr>
                <w:noProof/>
                <w:szCs w:val="24"/>
                <w:vertAlign w:val="subscript"/>
              </w:rPr>
              <w:t>[30]</w:t>
            </w:r>
            <w:r w:rsidRPr="002F209B">
              <w:rPr>
                <w:szCs w:val="24"/>
              </w:rPr>
              <w:t xml:space="preserve">, and AE rates were extracted from the pola package insert </w:t>
            </w:r>
            <w:r w:rsidRPr="004C7D02">
              <w:rPr>
                <w:noProof/>
                <w:szCs w:val="24"/>
                <w:vertAlign w:val="subscript"/>
              </w:rPr>
              <w:t>[9]</w:t>
            </w:r>
            <w:r w:rsidRPr="00DC606A">
              <w:rPr>
                <w:szCs w:val="24"/>
              </w:rPr>
              <w:t xml:space="preserve">. </w:t>
            </w:r>
            <w:r w:rsidRPr="002F209B">
              <w:rPr>
                <w:szCs w:val="24"/>
              </w:rPr>
              <w:t>SEs were assumed to be ¼ of the lower and upper of the confidence intervals (assumed to be ±20% of the mean), and are reported on the log-normal scale</w:t>
            </w:r>
          </w:p>
        </w:tc>
      </w:tr>
      <w:tr w:rsidR="0084142B" w:rsidRPr="007B1BAC" w14:paraId="5592263F" w14:textId="77777777" w:rsidTr="00875538">
        <w:trPr>
          <w:cantSplit/>
          <w:trHeight w:val="898"/>
        </w:trPr>
        <w:tc>
          <w:tcPr>
            <w:tcW w:w="1502" w:type="pct"/>
            <w:shd w:val="clear" w:color="auto" w:fill="FFFFFF"/>
            <w:noWrap/>
            <w:vAlign w:val="center"/>
          </w:tcPr>
          <w:p w14:paraId="394C2040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AE unit costs</w:t>
            </w:r>
          </w:p>
        </w:tc>
        <w:tc>
          <w:tcPr>
            <w:tcW w:w="806" w:type="pct"/>
            <w:shd w:val="clear" w:color="auto" w:fill="FFFFFF"/>
            <w:noWrap/>
            <w:vAlign w:val="center"/>
          </w:tcPr>
          <w:p w14:paraId="387E1583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vAlign w:val="center"/>
          </w:tcPr>
          <w:p w14:paraId="580C0965" w14:textId="77777777" w:rsidR="0084142B" w:rsidRPr="004D2890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4D2890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473" w:type="pct"/>
            <w:vAlign w:val="center"/>
          </w:tcPr>
          <w:p w14:paraId="60D15A7B" w14:textId="77777777" w:rsidR="0084142B" w:rsidRPr="002F209B" w:rsidDel="00DD25DF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0.1</w:t>
            </w:r>
          </w:p>
        </w:tc>
        <w:tc>
          <w:tcPr>
            <w:tcW w:w="1512" w:type="pct"/>
            <w:vMerge/>
          </w:tcPr>
          <w:p w14:paraId="5A890503" w14:textId="77777777" w:rsidR="0084142B" w:rsidRPr="006A514D" w:rsidRDefault="0084142B" w:rsidP="00875538">
            <w:pPr>
              <w:spacing w:after="0" w:line="240" w:lineRule="auto"/>
              <w:rPr>
                <w:rFonts w:eastAsia="MS Mincho" w:cs="Times New Roman"/>
                <w:sz w:val="22"/>
                <w:lang w:eastAsia="ja-JP"/>
              </w:rPr>
            </w:pPr>
          </w:p>
        </w:tc>
      </w:tr>
      <w:tr w:rsidR="0084142B" w:rsidRPr="007B1BAC" w14:paraId="520EA5A2" w14:textId="77777777" w:rsidTr="00875538">
        <w:trPr>
          <w:cantSplit/>
          <w:trHeight w:val="898"/>
        </w:trPr>
        <w:tc>
          <w:tcPr>
            <w:tcW w:w="1502" w:type="pct"/>
            <w:shd w:val="clear" w:color="auto" w:fill="FFFFFF"/>
            <w:noWrap/>
            <w:vAlign w:val="center"/>
          </w:tcPr>
          <w:p w14:paraId="62D216C7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AE rates</w:t>
            </w:r>
          </w:p>
        </w:tc>
        <w:tc>
          <w:tcPr>
            <w:tcW w:w="806" w:type="pct"/>
            <w:shd w:val="clear" w:color="auto" w:fill="FFFFFF"/>
            <w:noWrap/>
            <w:vAlign w:val="center"/>
          </w:tcPr>
          <w:p w14:paraId="30C0AC9B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vAlign w:val="center"/>
          </w:tcPr>
          <w:p w14:paraId="6AAA87C1" w14:textId="77777777" w:rsidR="0084142B" w:rsidRPr="004D2890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4D2890">
              <w:rPr>
                <w:rFonts w:eastAsia="MS Mincho" w:cs="Times New Roman"/>
                <w:szCs w:val="24"/>
                <w:lang w:eastAsia="ja-JP"/>
              </w:rPr>
              <w:t>-</w:t>
            </w:r>
          </w:p>
        </w:tc>
        <w:tc>
          <w:tcPr>
            <w:tcW w:w="473" w:type="pct"/>
            <w:vAlign w:val="center"/>
          </w:tcPr>
          <w:p w14:paraId="2B26E1F6" w14:textId="77777777" w:rsidR="0084142B" w:rsidRPr="002F209B" w:rsidDel="00DD25DF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0.1</w:t>
            </w:r>
          </w:p>
        </w:tc>
        <w:tc>
          <w:tcPr>
            <w:tcW w:w="1512" w:type="pct"/>
            <w:vMerge/>
          </w:tcPr>
          <w:p w14:paraId="0DB774F5" w14:textId="77777777" w:rsidR="0084142B" w:rsidRPr="006A514D" w:rsidRDefault="0084142B" w:rsidP="00875538">
            <w:pPr>
              <w:spacing w:after="0" w:line="240" w:lineRule="auto"/>
              <w:rPr>
                <w:rFonts w:eastAsia="MS Mincho" w:cs="Times New Roman"/>
                <w:sz w:val="22"/>
                <w:lang w:eastAsia="ja-JP"/>
              </w:rPr>
            </w:pPr>
          </w:p>
        </w:tc>
      </w:tr>
      <w:tr w:rsidR="0084142B" w:rsidRPr="007B1BAC" w14:paraId="1CF5D1FD" w14:textId="77777777" w:rsidTr="00875538">
        <w:trPr>
          <w:cantSplit/>
          <w:trHeight w:val="899"/>
        </w:trPr>
        <w:tc>
          <w:tcPr>
            <w:tcW w:w="1502" w:type="pct"/>
            <w:shd w:val="clear" w:color="auto" w:fill="FFFFFF"/>
            <w:noWrap/>
            <w:vAlign w:val="center"/>
            <w:hideMark/>
          </w:tcPr>
          <w:p w14:paraId="16F50E66" w14:textId="77777777" w:rsidR="0084142B" w:rsidRPr="002F209B" w:rsidRDefault="0084142B" w:rsidP="00875538">
            <w:pPr>
              <w:spacing w:after="0" w:line="240" w:lineRule="auto"/>
              <w:ind w:left="247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Terminal care</w:t>
            </w:r>
          </w:p>
        </w:tc>
        <w:tc>
          <w:tcPr>
            <w:tcW w:w="806" w:type="pct"/>
            <w:shd w:val="clear" w:color="auto" w:fill="FFFFFF"/>
            <w:noWrap/>
            <w:vAlign w:val="center"/>
            <w:hideMark/>
          </w:tcPr>
          <w:p w14:paraId="52360AAA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Log-normal</w:t>
            </w:r>
          </w:p>
        </w:tc>
        <w:tc>
          <w:tcPr>
            <w:tcW w:w="707" w:type="pct"/>
            <w:vAlign w:val="center"/>
            <w:hideMark/>
          </w:tcPr>
          <w:p w14:paraId="7E43EAA7" w14:textId="77777777" w:rsidR="0084142B" w:rsidRPr="004D2890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4D2890">
              <w:rPr>
                <w:rFonts w:eastAsia="MS Mincho" w:cs="Times New Roman"/>
                <w:szCs w:val="24"/>
                <w:lang w:eastAsia="ja-JP"/>
              </w:rPr>
              <w:t>24,994.11</w:t>
            </w:r>
          </w:p>
        </w:tc>
        <w:tc>
          <w:tcPr>
            <w:tcW w:w="473" w:type="pct"/>
            <w:vAlign w:val="center"/>
            <w:hideMark/>
          </w:tcPr>
          <w:p w14:paraId="0E8E1324" w14:textId="77777777" w:rsidR="0084142B" w:rsidRPr="002F209B" w:rsidRDefault="0084142B" w:rsidP="00875538">
            <w:pPr>
              <w:spacing w:after="0" w:line="240" w:lineRule="auto"/>
              <w:jc w:val="center"/>
              <w:rPr>
                <w:rFonts w:eastAsia="MS Mincho" w:cs="Times New Roman"/>
                <w:szCs w:val="24"/>
                <w:lang w:eastAsia="ja-JP"/>
              </w:rPr>
            </w:pPr>
            <w:r w:rsidRPr="002F209B">
              <w:rPr>
                <w:rFonts w:eastAsia="MS Mincho" w:cs="Times New Roman"/>
                <w:szCs w:val="24"/>
                <w:lang w:eastAsia="ja-JP"/>
              </w:rPr>
              <w:t>0.1</w:t>
            </w:r>
          </w:p>
        </w:tc>
        <w:tc>
          <w:tcPr>
            <w:tcW w:w="1512" w:type="pct"/>
            <w:vMerge/>
          </w:tcPr>
          <w:p w14:paraId="7B80F2F6" w14:textId="77777777" w:rsidR="0084142B" w:rsidRPr="006A514D" w:rsidRDefault="0084142B" w:rsidP="00875538">
            <w:pPr>
              <w:spacing w:after="0" w:line="240" w:lineRule="auto"/>
              <w:rPr>
                <w:rFonts w:eastAsia="MS Mincho" w:cs="Times New Roman"/>
                <w:sz w:val="22"/>
                <w:lang w:eastAsia="ja-JP"/>
              </w:rPr>
            </w:pPr>
          </w:p>
        </w:tc>
      </w:tr>
    </w:tbl>
    <w:p w14:paraId="1D858BE3" w14:textId="77777777" w:rsidR="0084142B" w:rsidRDefault="0084142B" w:rsidP="0084142B">
      <w:pPr>
        <w:spacing w:after="360" w:line="240" w:lineRule="auto"/>
        <w:contextualSpacing/>
        <w:rPr>
          <w:rFonts w:eastAsiaTheme="minorEastAsia" w:cs="Times New Roman"/>
          <w:sz w:val="20"/>
          <w:szCs w:val="20"/>
          <w:lang w:eastAsia="zh-CN"/>
        </w:rPr>
      </w:pPr>
      <w:r>
        <w:rPr>
          <w:rFonts w:eastAsiaTheme="minorEastAsia" w:cs="Times New Roman"/>
          <w:sz w:val="20"/>
          <w:szCs w:val="20"/>
        </w:rPr>
        <w:t>AE, a</w:t>
      </w:r>
      <w:r w:rsidRPr="006A514D">
        <w:rPr>
          <w:rFonts w:eastAsiaTheme="minorEastAsia" w:cs="Times New Roman"/>
          <w:sz w:val="20"/>
          <w:szCs w:val="20"/>
        </w:rPr>
        <w:t>dverse event;</w:t>
      </w:r>
      <w:r w:rsidRPr="006A514D">
        <w:rPr>
          <w:rFonts w:eastAsiaTheme="minorEastAsia" w:cs="Times New Roman"/>
          <w:sz w:val="20"/>
          <w:szCs w:val="20"/>
          <w:lang w:eastAsia="zh-CN"/>
        </w:rPr>
        <w:t xml:space="preserve"> BR</w:t>
      </w:r>
      <w:r>
        <w:rPr>
          <w:rFonts w:eastAsiaTheme="minorEastAsia" w:cs="Times New Roman"/>
          <w:sz w:val="20"/>
          <w:szCs w:val="20"/>
          <w:lang w:eastAsia="zh-CN"/>
        </w:rPr>
        <w:t xml:space="preserve">, </w:t>
      </w:r>
      <w:r w:rsidRPr="006A514D">
        <w:rPr>
          <w:rFonts w:eastAsiaTheme="minorEastAsia" w:cs="Times New Roman"/>
          <w:sz w:val="20"/>
          <w:szCs w:val="20"/>
          <w:lang w:eastAsia="zh-CN"/>
        </w:rPr>
        <w:t>bendamustine + rituximab</w:t>
      </w:r>
      <w:r>
        <w:rPr>
          <w:rFonts w:eastAsiaTheme="minorEastAsia" w:cs="Times New Roman"/>
          <w:sz w:val="20"/>
          <w:szCs w:val="20"/>
          <w:lang w:eastAsia="zh-CN"/>
        </w:rPr>
        <w:t xml:space="preserve">; </w:t>
      </w:r>
      <w:r w:rsidRPr="00C83D5C">
        <w:rPr>
          <w:rFonts w:eastAsiaTheme="minorEastAsia" w:cs="Times New Roman"/>
          <w:sz w:val="20"/>
          <w:szCs w:val="20"/>
          <w:lang w:eastAsia="zh-CN"/>
        </w:rPr>
        <w:t>CMS</w:t>
      </w:r>
      <w:r>
        <w:rPr>
          <w:rFonts w:eastAsiaTheme="minorEastAsia" w:cs="Times New Roman"/>
          <w:sz w:val="20"/>
          <w:szCs w:val="20"/>
          <w:lang w:eastAsia="zh-CN"/>
        </w:rPr>
        <w:t xml:space="preserve">, Centers for Medicare &amp; </w:t>
      </w:r>
      <w:r w:rsidRPr="00C83D5C">
        <w:rPr>
          <w:rFonts w:eastAsiaTheme="minorEastAsia" w:cs="Times New Roman"/>
          <w:sz w:val="20"/>
          <w:szCs w:val="20"/>
          <w:lang w:eastAsia="zh-CN"/>
        </w:rPr>
        <w:t>Medicaid Services</w:t>
      </w:r>
      <w:r>
        <w:rPr>
          <w:rFonts w:eastAsiaTheme="minorEastAsia" w:cs="Times New Roman"/>
          <w:sz w:val="20"/>
          <w:szCs w:val="20"/>
          <w:lang w:eastAsia="zh-CN"/>
        </w:rPr>
        <w:t xml:space="preserve">; HCUP, Healthcare Cost and Utilization Project; </w:t>
      </w:r>
      <w:r w:rsidRPr="00C83D5C">
        <w:rPr>
          <w:rFonts w:eastAsiaTheme="minorEastAsia" w:cs="Times New Roman"/>
          <w:sz w:val="20"/>
          <w:szCs w:val="20"/>
          <w:lang w:eastAsia="zh-CN"/>
        </w:rPr>
        <w:t>HRU</w:t>
      </w:r>
      <w:r>
        <w:rPr>
          <w:rFonts w:eastAsiaTheme="minorEastAsia" w:cs="Times New Roman"/>
          <w:sz w:val="20"/>
          <w:szCs w:val="20"/>
          <w:lang w:eastAsia="zh-CN"/>
        </w:rPr>
        <w:t xml:space="preserve">, </w:t>
      </w:r>
      <w:r w:rsidRPr="00C83D5C">
        <w:rPr>
          <w:rFonts w:eastAsiaTheme="minorEastAsia" w:cs="Times New Roman"/>
          <w:sz w:val="20"/>
          <w:szCs w:val="20"/>
          <w:lang w:eastAsia="zh-CN"/>
        </w:rPr>
        <w:t>he</w:t>
      </w:r>
      <w:r>
        <w:rPr>
          <w:rFonts w:eastAsiaTheme="minorEastAsia" w:cs="Times New Roman"/>
          <w:sz w:val="20"/>
          <w:szCs w:val="20"/>
          <w:lang w:eastAsia="zh-CN"/>
        </w:rPr>
        <w:t xml:space="preserve">alth resource utilization; KM, </w:t>
      </w:r>
      <w:r w:rsidRPr="006A514D">
        <w:rPr>
          <w:rFonts w:eastAsiaTheme="minorEastAsia" w:cs="Times New Roman"/>
          <w:sz w:val="20"/>
          <w:szCs w:val="20"/>
          <w:lang w:eastAsia="zh-CN"/>
        </w:rPr>
        <w:t xml:space="preserve">Kaplan-Meier; </w:t>
      </w:r>
      <w:r w:rsidRPr="00C83D5C">
        <w:rPr>
          <w:rFonts w:eastAsiaTheme="minorEastAsia" w:cs="Times New Roman"/>
          <w:sz w:val="20"/>
          <w:szCs w:val="20"/>
          <w:lang w:eastAsia="zh-CN"/>
        </w:rPr>
        <w:t>NCCN</w:t>
      </w:r>
      <w:r>
        <w:rPr>
          <w:rFonts w:eastAsiaTheme="minorEastAsia" w:cs="Times New Roman"/>
          <w:sz w:val="20"/>
          <w:szCs w:val="20"/>
          <w:lang w:eastAsia="zh-CN"/>
        </w:rPr>
        <w:t xml:space="preserve">, </w:t>
      </w:r>
      <w:r w:rsidRPr="00C83D5C">
        <w:rPr>
          <w:rFonts w:eastAsiaTheme="minorEastAsia" w:cs="Times New Roman"/>
          <w:sz w:val="20"/>
          <w:szCs w:val="20"/>
          <w:lang w:eastAsia="zh-CN"/>
        </w:rPr>
        <w:t>National Comprehensive Cancer Network</w:t>
      </w:r>
      <w:r>
        <w:rPr>
          <w:rFonts w:eastAsiaTheme="minorEastAsia" w:cs="Times New Roman"/>
          <w:sz w:val="20"/>
          <w:szCs w:val="20"/>
          <w:lang w:eastAsia="zh-CN"/>
        </w:rPr>
        <w:t xml:space="preserve">; OS, overall survival; PD, progressed disease; </w:t>
      </w:r>
      <w:r w:rsidRPr="006A514D">
        <w:rPr>
          <w:rFonts w:eastAsiaTheme="minorEastAsia" w:cs="Times New Roman"/>
          <w:sz w:val="20"/>
          <w:szCs w:val="20"/>
          <w:lang w:eastAsia="zh-CN"/>
        </w:rPr>
        <w:t>PFS</w:t>
      </w:r>
      <w:r>
        <w:rPr>
          <w:rFonts w:eastAsiaTheme="minorEastAsia" w:cs="Times New Roman"/>
          <w:sz w:val="20"/>
          <w:szCs w:val="20"/>
          <w:lang w:eastAsia="zh-CN"/>
        </w:rPr>
        <w:t>, p</w:t>
      </w:r>
      <w:r w:rsidRPr="006A514D">
        <w:rPr>
          <w:rFonts w:eastAsiaTheme="minorEastAsia" w:cs="Times New Roman"/>
          <w:sz w:val="20"/>
          <w:szCs w:val="20"/>
          <w:lang w:eastAsia="zh-CN"/>
        </w:rPr>
        <w:t xml:space="preserve">rogression-free survival; </w:t>
      </w:r>
      <w:r>
        <w:rPr>
          <w:rFonts w:eastAsiaTheme="minorEastAsia" w:cs="Times New Roman"/>
          <w:sz w:val="20"/>
          <w:szCs w:val="20"/>
          <w:lang w:eastAsia="zh-CN"/>
        </w:rPr>
        <w:t>p</w:t>
      </w:r>
      <w:r w:rsidRPr="006A514D">
        <w:rPr>
          <w:rFonts w:eastAsiaTheme="minorEastAsia" w:cs="Times New Roman"/>
          <w:sz w:val="20"/>
          <w:szCs w:val="20"/>
          <w:lang w:eastAsia="zh-CN"/>
        </w:rPr>
        <w:t>ola</w:t>
      </w:r>
      <w:r>
        <w:rPr>
          <w:rFonts w:eastAsiaTheme="minorEastAsia" w:cs="Times New Roman"/>
          <w:sz w:val="20"/>
          <w:szCs w:val="20"/>
          <w:lang w:eastAsia="zh-CN"/>
        </w:rPr>
        <w:t>,</w:t>
      </w:r>
      <w:r w:rsidRPr="006A514D">
        <w:rPr>
          <w:rFonts w:eastAsiaTheme="minorEastAsia" w:cs="Times New Roman"/>
          <w:sz w:val="20"/>
          <w:szCs w:val="20"/>
          <w:lang w:eastAsia="zh-CN"/>
        </w:rPr>
        <w:t xml:space="preserve"> </w:t>
      </w:r>
      <w:r>
        <w:rPr>
          <w:rFonts w:eastAsiaTheme="minorEastAsia" w:cs="Times New Roman"/>
          <w:sz w:val="20"/>
          <w:szCs w:val="20"/>
          <w:lang w:eastAsia="zh-CN"/>
        </w:rPr>
        <w:t>polatuzumab vedotin</w:t>
      </w:r>
      <w:r w:rsidRPr="006A514D">
        <w:rPr>
          <w:rFonts w:eastAsiaTheme="minorEastAsia" w:cs="Times New Roman"/>
          <w:sz w:val="20"/>
          <w:szCs w:val="20"/>
          <w:lang w:eastAsia="zh-CN"/>
        </w:rPr>
        <w:t xml:space="preserve">; </w:t>
      </w:r>
      <w:r>
        <w:rPr>
          <w:rFonts w:eastAsiaTheme="minorEastAsia" w:cs="Times New Roman"/>
          <w:sz w:val="20"/>
          <w:szCs w:val="20"/>
          <w:lang w:eastAsia="zh-CN"/>
        </w:rPr>
        <w:t>PSA, p</w:t>
      </w:r>
      <w:r w:rsidRPr="006A514D">
        <w:rPr>
          <w:rFonts w:eastAsiaTheme="minorEastAsia" w:cs="Times New Roman"/>
          <w:sz w:val="20"/>
          <w:szCs w:val="20"/>
          <w:lang w:eastAsia="zh-CN"/>
        </w:rPr>
        <w:t xml:space="preserve">robabilistic sensitivity analysis; </w:t>
      </w:r>
      <w:r>
        <w:rPr>
          <w:rFonts w:eastAsiaTheme="minorEastAsia" w:cs="Times New Roman"/>
          <w:sz w:val="20"/>
          <w:szCs w:val="20"/>
          <w:lang w:eastAsia="zh-CN"/>
        </w:rPr>
        <w:t>SE, s</w:t>
      </w:r>
      <w:r w:rsidRPr="006A514D">
        <w:rPr>
          <w:rFonts w:eastAsiaTheme="minorEastAsia" w:cs="Times New Roman"/>
          <w:sz w:val="20"/>
          <w:szCs w:val="20"/>
          <w:lang w:eastAsia="zh-CN"/>
        </w:rPr>
        <w:t xml:space="preserve">tandard </w:t>
      </w:r>
      <w:r>
        <w:rPr>
          <w:rFonts w:eastAsiaTheme="minorEastAsia" w:cs="Times New Roman"/>
          <w:sz w:val="20"/>
          <w:szCs w:val="20"/>
          <w:lang w:eastAsia="zh-CN"/>
        </w:rPr>
        <w:t>error.</w:t>
      </w:r>
    </w:p>
    <w:p w14:paraId="2754470D" w14:textId="77777777" w:rsidR="0084142B" w:rsidRDefault="0084142B" w:rsidP="0084142B">
      <w:pPr>
        <w:spacing w:after="360" w:line="240" w:lineRule="auto"/>
        <w:contextualSpacing/>
        <w:rPr>
          <w:rFonts w:eastAsiaTheme="minorEastAsia" w:cs="Times New Roman"/>
          <w:sz w:val="20"/>
          <w:szCs w:val="20"/>
          <w:lang w:eastAsia="zh-CN"/>
        </w:rPr>
      </w:pPr>
    </w:p>
    <w:p w14:paraId="6736916A" w14:textId="77777777" w:rsidR="0084142B" w:rsidRPr="0084142B" w:rsidRDefault="0084142B" w:rsidP="0084142B"/>
    <w:sectPr w:rsidR="0084142B" w:rsidRPr="008414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58AFA" w14:textId="77777777" w:rsidR="000D56A2" w:rsidRDefault="000D56A2">
      <w:pPr>
        <w:spacing w:after="0" w:line="240" w:lineRule="auto"/>
      </w:pPr>
    </w:p>
  </w:endnote>
  <w:endnote w:type="continuationSeparator" w:id="0">
    <w:p w14:paraId="00E8B481" w14:textId="77777777" w:rsidR="000D56A2" w:rsidRDefault="000D56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ungsuh">
    <w:charset w:val="81"/>
    <w:family w:val="auto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A0918" w14:textId="77777777" w:rsidR="000D56A2" w:rsidRDefault="000D56A2">
      <w:pPr>
        <w:spacing w:after="0" w:line="240" w:lineRule="auto"/>
      </w:pPr>
    </w:p>
  </w:footnote>
  <w:footnote w:type="continuationSeparator" w:id="0">
    <w:p w14:paraId="407E8E05" w14:textId="77777777" w:rsidR="000D56A2" w:rsidRDefault="000D56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97AFB"/>
    <w:multiLevelType w:val="hybridMultilevel"/>
    <w:tmpl w:val="73AE6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activeWritingStyle w:appName="MSWord" w:lang="nl-NL" w:vendorID="64" w:dllVersion="4096" w:nlCheck="1" w:checkStyle="0"/>
  <w:activeWritingStyle w:appName="MSWord" w:lang="da-DK" w:vendorID="64" w:dllVersion="4096" w:nlCheck="1" w:checkStyle="0"/>
  <w:activeWritingStyle w:appName="MSWord" w:lang="fi-FI" w:vendorID="64" w:dllVersion="4096" w:nlCheck="1" w:checkStyle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2B"/>
    <w:rsid w:val="000373DE"/>
    <w:rsid w:val="00042E46"/>
    <w:rsid w:val="00053BED"/>
    <w:rsid w:val="000823EA"/>
    <w:rsid w:val="00087642"/>
    <w:rsid w:val="00091960"/>
    <w:rsid w:val="000975ED"/>
    <w:rsid w:val="000B0A20"/>
    <w:rsid w:val="000B5A18"/>
    <w:rsid w:val="000D56A2"/>
    <w:rsid w:val="000E2D81"/>
    <w:rsid w:val="000F0478"/>
    <w:rsid w:val="000F0974"/>
    <w:rsid w:val="00117AA1"/>
    <w:rsid w:val="00135C7F"/>
    <w:rsid w:val="00147209"/>
    <w:rsid w:val="00147EBB"/>
    <w:rsid w:val="00173132"/>
    <w:rsid w:val="001A0C1E"/>
    <w:rsid w:val="001B3BFB"/>
    <w:rsid w:val="001C1E08"/>
    <w:rsid w:val="001C47FC"/>
    <w:rsid w:val="001D4E4A"/>
    <w:rsid w:val="001E288D"/>
    <w:rsid w:val="001F5CA9"/>
    <w:rsid w:val="00221212"/>
    <w:rsid w:val="00254D4D"/>
    <w:rsid w:val="00254E1D"/>
    <w:rsid w:val="00257659"/>
    <w:rsid w:val="002646B3"/>
    <w:rsid w:val="002678B5"/>
    <w:rsid w:val="00280E01"/>
    <w:rsid w:val="002B643E"/>
    <w:rsid w:val="002C2088"/>
    <w:rsid w:val="002C74C9"/>
    <w:rsid w:val="002D41B3"/>
    <w:rsid w:val="0033506D"/>
    <w:rsid w:val="00335C33"/>
    <w:rsid w:val="00335D99"/>
    <w:rsid w:val="00340918"/>
    <w:rsid w:val="00345973"/>
    <w:rsid w:val="003504CE"/>
    <w:rsid w:val="0037574E"/>
    <w:rsid w:val="00395D9F"/>
    <w:rsid w:val="003B1291"/>
    <w:rsid w:val="003B43DE"/>
    <w:rsid w:val="003E6D2C"/>
    <w:rsid w:val="003E6EA4"/>
    <w:rsid w:val="003F3DF0"/>
    <w:rsid w:val="00406161"/>
    <w:rsid w:val="00412A9B"/>
    <w:rsid w:val="004277E6"/>
    <w:rsid w:val="00454AF9"/>
    <w:rsid w:val="00457D57"/>
    <w:rsid w:val="00472D56"/>
    <w:rsid w:val="004A4105"/>
    <w:rsid w:val="004B1962"/>
    <w:rsid w:val="004B58CB"/>
    <w:rsid w:val="004E046B"/>
    <w:rsid w:val="004E1FE5"/>
    <w:rsid w:val="004F246E"/>
    <w:rsid w:val="004F700A"/>
    <w:rsid w:val="004F7965"/>
    <w:rsid w:val="00506327"/>
    <w:rsid w:val="00531521"/>
    <w:rsid w:val="00533A16"/>
    <w:rsid w:val="00562268"/>
    <w:rsid w:val="005755F6"/>
    <w:rsid w:val="0058417B"/>
    <w:rsid w:val="005953B3"/>
    <w:rsid w:val="005B1306"/>
    <w:rsid w:val="005D030E"/>
    <w:rsid w:val="005E1528"/>
    <w:rsid w:val="005F111F"/>
    <w:rsid w:val="006112F7"/>
    <w:rsid w:val="00630558"/>
    <w:rsid w:val="00633B47"/>
    <w:rsid w:val="006644D3"/>
    <w:rsid w:val="00666674"/>
    <w:rsid w:val="0067231C"/>
    <w:rsid w:val="006877F4"/>
    <w:rsid w:val="006E332A"/>
    <w:rsid w:val="006F673A"/>
    <w:rsid w:val="006F6E6E"/>
    <w:rsid w:val="007404AC"/>
    <w:rsid w:val="00750B4F"/>
    <w:rsid w:val="00751E64"/>
    <w:rsid w:val="007739F5"/>
    <w:rsid w:val="00793E92"/>
    <w:rsid w:val="007B3390"/>
    <w:rsid w:val="007C2E8E"/>
    <w:rsid w:val="007C7531"/>
    <w:rsid w:val="007D2019"/>
    <w:rsid w:val="007D5489"/>
    <w:rsid w:val="007F14D8"/>
    <w:rsid w:val="00815BFD"/>
    <w:rsid w:val="008318A0"/>
    <w:rsid w:val="00835E7E"/>
    <w:rsid w:val="0084142B"/>
    <w:rsid w:val="00875538"/>
    <w:rsid w:val="008805D8"/>
    <w:rsid w:val="008B3964"/>
    <w:rsid w:val="008C090E"/>
    <w:rsid w:val="008F097F"/>
    <w:rsid w:val="009034E4"/>
    <w:rsid w:val="009162D9"/>
    <w:rsid w:val="009220E7"/>
    <w:rsid w:val="0094557B"/>
    <w:rsid w:val="00957EB3"/>
    <w:rsid w:val="009A4FDF"/>
    <w:rsid w:val="009C5584"/>
    <w:rsid w:val="009C7194"/>
    <w:rsid w:val="009E371D"/>
    <w:rsid w:val="00A255E2"/>
    <w:rsid w:val="00A300AE"/>
    <w:rsid w:val="00A44400"/>
    <w:rsid w:val="00A44468"/>
    <w:rsid w:val="00A46B93"/>
    <w:rsid w:val="00A47820"/>
    <w:rsid w:val="00A83818"/>
    <w:rsid w:val="00A8478F"/>
    <w:rsid w:val="00AC3138"/>
    <w:rsid w:val="00AC72A2"/>
    <w:rsid w:val="00AF4A92"/>
    <w:rsid w:val="00B062E9"/>
    <w:rsid w:val="00B35633"/>
    <w:rsid w:val="00B422A2"/>
    <w:rsid w:val="00B4501B"/>
    <w:rsid w:val="00B4631E"/>
    <w:rsid w:val="00B76D2B"/>
    <w:rsid w:val="00B805B5"/>
    <w:rsid w:val="00B84F27"/>
    <w:rsid w:val="00BC7A1F"/>
    <w:rsid w:val="00BD5052"/>
    <w:rsid w:val="00BD6BEE"/>
    <w:rsid w:val="00BE70F5"/>
    <w:rsid w:val="00C14A0C"/>
    <w:rsid w:val="00C4095D"/>
    <w:rsid w:val="00C45A01"/>
    <w:rsid w:val="00C54364"/>
    <w:rsid w:val="00C549C0"/>
    <w:rsid w:val="00C6014A"/>
    <w:rsid w:val="00CC4458"/>
    <w:rsid w:val="00CF71DC"/>
    <w:rsid w:val="00D164A6"/>
    <w:rsid w:val="00D2282F"/>
    <w:rsid w:val="00D7522E"/>
    <w:rsid w:val="00D81330"/>
    <w:rsid w:val="00D8497B"/>
    <w:rsid w:val="00D84A7E"/>
    <w:rsid w:val="00D92CC9"/>
    <w:rsid w:val="00D9496E"/>
    <w:rsid w:val="00D96ED9"/>
    <w:rsid w:val="00DA6FEA"/>
    <w:rsid w:val="00DB1E23"/>
    <w:rsid w:val="00DC71A7"/>
    <w:rsid w:val="00DD5C15"/>
    <w:rsid w:val="00DF0CB3"/>
    <w:rsid w:val="00E36BBF"/>
    <w:rsid w:val="00E5144B"/>
    <w:rsid w:val="00E546C6"/>
    <w:rsid w:val="00E5672C"/>
    <w:rsid w:val="00E74DB9"/>
    <w:rsid w:val="00E8187B"/>
    <w:rsid w:val="00E86852"/>
    <w:rsid w:val="00EA19E6"/>
    <w:rsid w:val="00EA7BE7"/>
    <w:rsid w:val="00ED4A6B"/>
    <w:rsid w:val="00F11E25"/>
    <w:rsid w:val="00F12C9D"/>
    <w:rsid w:val="00F15785"/>
    <w:rsid w:val="00F20F23"/>
    <w:rsid w:val="00F30A65"/>
    <w:rsid w:val="00F3318D"/>
    <w:rsid w:val="00F50431"/>
    <w:rsid w:val="00F67168"/>
    <w:rsid w:val="00F70328"/>
    <w:rsid w:val="00F804B1"/>
    <w:rsid w:val="00FA1283"/>
    <w:rsid w:val="00FB1894"/>
    <w:rsid w:val="00FC009E"/>
    <w:rsid w:val="00FD72AA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588642"/>
  <w15:chartTrackingRefBased/>
  <w15:docId w15:val="{9C867DEE-F878-430A-A71A-B910E8BF1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142B"/>
    <w:pPr>
      <w:spacing w:line="360" w:lineRule="auto"/>
    </w:pPr>
    <w:rPr>
      <w:rFonts w:ascii="Times New Roman" w:eastAsiaTheme="minorHAnsi" w:hAnsi="Times New Roman"/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2B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42B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42B"/>
    <w:pPr>
      <w:keepNext/>
      <w:keepLines/>
      <w:spacing w:before="40" w:after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42B"/>
    <w:pPr>
      <w:keepNext/>
      <w:keepLines/>
      <w:spacing w:before="40" w:after="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142B"/>
    <w:rPr>
      <w:rFonts w:ascii="Times New Roman" w:eastAsiaTheme="majorEastAsia" w:hAnsi="Times New Roman" w:cstheme="majorBidi"/>
      <w:b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4142B"/>
    <w:rPr>
      <w:rFonts w:ascii="Times New Roman" w:eastAsiaTheme="majorEastAsia" w:hAnsi="Times New Roman" w:cstheme="majorBidi"/>
      <w:b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84142B"/>
    <w:rPr>
      <w:rFonts w:ascii="Times New Roman" w:eastAsiaTheme="majorEastAsia" w:hAnsi="Times New Roman" w:cstheme="majorBidi"/>
      <w:b/>
      <w:i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4142B"/>
    <w:rPr>
      <w:rFonts w:ascii="Times New Roman" w:eastAsiaTheme="majorEastAsia" w:hAnsi="Times New Roman" w:cstheme="majorBidi"/>
      <w:i/>
      <w:iCs/>
      <w:sz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84142B"/>
    <w:rPr>
      <w:b/>
      <w:bCs/>
    </w:rPr>
  </w:style>
  <w:style w:type="character" w:styleId="Hyperlink">
    <w:name w:val="Hyperlink"/>
    <w:basedOn w:val="DefaultParagraphFont"/>
    <w:uiPriority w:val="99"/>
    <w:unhideWhenUsed/>
    <w:rsid w:val="0084142B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4142B"/>
    <w:pPr>
      <w:spacing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link w:val="ListParagraph"/>
    <w:uiPriority w:val="34"/>
    <w:rsid w:val="0084142B"/>
    <w:rPr>
      <w:rFonts w:eastAsiaTheme="minorHAnsi"/>
      <w:lang w:val="en-US" w:eastAsia="en-US"/>
    </w:rPr>
  </w:style>
  <w:style w:type="paragraph" w:customStyle="1" w:styleId="Content">
    <w:name w:val="Content"/>
    <w:basedOn w:val="Normal"/>
    <w:link w:val="ContentChar"/>
    <w:qFormat/>
    <w:rsid w:val="0084142B"/>
    <w:pPr>
      <w:spacing w:after="0" w:line="240" w:lineRule="auto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ContentChar">
    <w:name w:val="Content Char"/>
    <w:link w:val="Content"/>
    <w:rsid w:val="0084142B"/>
    <w:rPr>
      <w:rFonts w:ascii="Arial" w:eastAsia="SimSun" w:hAnsi="Arial" w:cs="Arial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4142B"/>
    <w:rPr>
      <w:sz w:val="16"/>
      <w:szCs w:val="16"/>
    </w:rPr>
  </w:style>
  <w:style w:type="paragraph" w:customStyle="1" w:styleId="Tabletitle">
    <w:name w:val="Table title"/>
    <w:basedOn w:val="Normal"/>
    <w:qFormat/>
    <w:rsid w:val="0084142B"/>
    <w:pPr>
      <w:spacing w:after="0" w:line="240" w:lineRule="auto"/>
    </w:pPr>
    <w:rPr>
      <w:b/>
    </w:rPr>
  </w:style>
  <w:style w:type="paragraph" w:customStyle="1" w:styleId="Tabletext">
    <w:name w:val="Table text"/>
    <w:basedOn w:val="Normal"/>
    <w:qFormat/>
    <w:rsid w:val="0084142B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unhideWhenUsed/>
    <w:rsid w:val="008414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4142B"/>
    <w:rPr>
      <w:rFonts w:ascii="Times New Roman" w:eastAsiaTheme="minorHAnsi" w:hAnsi="Times New Roman"/>
      <w:sz w:val="20"/>
      <w:szCs w:val="20"/>
      <w:lang w:val="en-US" w:eastAsia="en-US"/>
    </w:rPr>
  </w:style>
  <w:style w:type="table" w:customStyle="1" w:styleId="Studysummary1">
    <w:name w:val="Study_summary1"/>
    <w:basedOn w:val="TableGrid"/>
    <w:uiPriority w:val="99"/>
    <w:rsid w:val="0084142B"/>
    <w:pPr>
      <w:keepNext/>
      <w:jc w:val="center"/>
    </w:pPr>
    <w:rPr>
      <w:rFonts w:ascii="Palatino Linotype" w:hAnsi="Palatino Linotype"/>
      <w:sz w:val="20"/>
      <w:szCs w:val="20"/>
      <w:lang w:val="en-US" w:eastAsia="en-US"/>
    </w:rPr>
    <w:tblPr>
      <w:tblBorders>
        <w:top w:val="none" w:sz="0" w:space="0" w:color="auto"/>
        <w:left w:val="none" w:sz="0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cPr>
      <w:tcMar>
        <w:top w:w="72" w:type="dxa"/>
        <w:left w:w="72" w:type="dxa"/>
        <w:bottom w:w="72" w:type="dxa"/>
        <w:right w:w="72" w:type="dxa"/>
      </w:tcMar>
    </w:tcPr>
    <w:tblStylePr w:type="firstRow">
      <w:pPr>
        <w:jc w:val="center"/>
      </w:pPr>
      <w:rPr>
        <w:b/>
      </w:rPr>
      <w:tblPr/>
      <w:trPr>
        <w:tblHeader/>
      </w:trPr>
      <w:tcPr>
        <w:tcBorders>
          <w:top w:val="single" w:sz="8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keepNext w:val="0"/>
        <w:wordWrap/>
      </w:p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  <w:rPr>
        <w:rFonts w:ascii="Gungsuh" w:hAnsi="Gungsuh"/>
        <w:sz w:val="20"/>
      </w:rPr>
    </w:tblStylePr>
    <w:tblStylePr w:type="nwCell">
      <w:pPr>
        <w:jc w:val="left"/>
      </w:pPr>
      <w:tblPr/>
      <w:tcPr>
        <w:vAlign w:val="bottom"/>
      </w:tcPr>
    </w:tblStylePr>
  </w:style>
  <w:style w:type="paragraph" w:customStyle="1" w:styleId="Paragraph">
    <w:name w:val="Paragraph"/>
    <w:basedOn w:val="Normal"/>
    <w:link w:val="ParagraphChar"/>
    <w:qFormat/>
    <w:rsid w:val="0084142B"/>
    <w:pPr>
      <w:spacing w:after="120" w:line="280" w:lineRule="exact"/>
    </w:pPr>
    <w:rPr>
      <w:rFonts w:eastAsia="Times New Roman" w:cs="Times New Roman"/>
      <w:szCs w:val="24"/>
      <w:lang w:eastAsia="de-DE"/>
    </w:rPr>
  </w:style>
  <w:style w:type="character" w:customStyle="1" w:styleId="ParagraphChar">
    <w:name w:val="Paragraph Char"/>
    <w:link w:val="Paragraph"/>
    <w:rsid w:val="0084142B"/>
    <w:rPr>
      <w:rFonts w:ascii="Times New Roman" w:eastAsia="Times New Roman" w:hAnsi="Times New Roman" w:cs="Times New Roman"/>
      <w:sz w:val="24"/>
      <w:szCs w:val="24"/>
      <w:lang w:val="en-US" w:eastAsia="de-DE"/>
    </w:rPr>
  </w:style>
  <w:style w:type="table" w:styleId="GridTable1Light-Accent6">
    <w:name w:val="Grid Table 1 Light Accent 6"/>
    <w:basedOn w:val="TableNormal"/>
    <w:uiPriority w:val="46"/>
    <w:rsid w:val="0084142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841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497B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97B"/>
    <w:rPr>
      <w:rFonts w:ascii="Times New Roman" w:eastAsiaTheme="minorHAnsi" w:hAnsi="Times New Roman" w:cs="Times New Roman"/>
      <w:sz w:val="18"/>
      <w:szCs w:val="18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12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1283"/>
    <w:rPr>
      <w:rFonts w:ascii="Times New Roman" w:eastAsiaTheme="minorHAnsi" w:hAnsi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2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283"/>
    <w:rPr>
      <w:rFonts w:ascii="Times New Roman" w:eastAsiaTheme="minorHAnsi" w:hAnsi="Times New Roman"/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221212"/>
    <w:pPr>
      <w:spacing w:after="0" w:line="240" w:lineRule="auto"/>
    </w:pPr>
    <w:rPr>
      <w:rFonts w:ascii="Times New Roman" w:eastAsiaTheme="minorHAnsi" w:hAnsi="Times New Roman"/>
      <w:sz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1F5C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CA9"/>
    <w:rPr>
      <w:rFonts w:ascii="Times New Roman" w:eastAsiaTheme="minorHAnsi" w:hAnsi="Times New Roman"/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F5C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CA9"/>
    <w:rPr>
      <w:rFonts w:ascii="Times New Roman" w:eastAsiaTheme="minorHAnsi" w:hAnsi="Times New Roman"/>
      <w:sz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12A9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inicalstudydatarequest.com/Study-Sponsors/Study-Sponsors-Roche.asp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eith.Betts@analysisgroup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roche.com/research_and_development/who_we_are_how_we_work/clinical_trials/our_commitment_to_data_sharing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4618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Ashfield Healthcare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GCC</dc:creator>
  <cp:keywords/>
  <dc:description/>
  <cp:lastModifiedBy>Megan Fox</cp:lastModifiedBy>
  <cp:revision>2</cp:revision>
  <cp:lastPrinted>2020-02-25T12:51:00Z</cp:lastPrinted>
  <dcterms:created xsi:type="dcterms:W3CDTF">2020-08-05T08:46:00Z</dcterms:created>
  <dcterms:modified xsi:type="dcterms:W3CDTF">2020-08-05T08:46:00Z</dcterms:modified>
</cp:coreProperties>
</file>